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FBF79" w14:textId="720F930D" w:rsidR="009C646F" w:rsidRPr="000A4311" w:rsidRDefault="009C646F" w:rsidP="009C646F">
      <w:pPr>
        <w:pStyle w:val="Header"/>
        <w:tabs>
          <w:tab w:val="right" w:pos="9639"/>
        </w:tabs>
        <w:rPr>
          <w:bCs/>
          <w:i/>
          <w:noProof w:val="0"/>
          <w:sz w:val="24"/>
          <w:szCs w:val="24"/>
          <w:lang w:val="en-GB" w:eastAsia="zh-CN"/>
        </w:rPr>
      </w:pPr>
      <w:bookmarkStart w:id="0" w:name="OLE_LINK5"/>
      <w:bookmarkStart w:id="1" w:name="OLE_LINK6"/>
      <w:r w:rsidRPr="000A4311">
        <w:rPr>
          <w:bCs/>
          <w:noProof w:val="0"/>
          <w:sz w:val="24"/>
          <w:szCs w:val="24"/>
          <w:lang w:val="en-GB"/>
        </w:rPr>
        <w:t xml:space="preserve">3GPP TSG-RAN </w:t>
      </w:r>
      <w:r w:rsidRPr="000A4311">
        <w:rPr>
          <w:noProof w:val="0"/>
          <w:sz w:val="24"/>
          <w:szCs w:val="24"/>
          <w:lang w:val="en-GB"/>
        </w:rPr>
        <w:t>WG1 Meeting #88</w:t>
      </w:r>
      <w:r w:rsidRPr="000A4311">
        <w:rPr>
          <w:bCs/>
          <w:noProof w:val="0"/>
          <w:sz w:val="24"/>
          <w:szCs w:val="24"/>
          <w:lang w:val="en-GB"/>
        </w:rPr>
        <w:tab/>
      </w:r>
      <w:r w:rsidRPr="000A4311">
        <w:rPr>
          <w:bCs/>
          <w:noProof w:val="0"/>
          <w:sz w:val="24"/>
          <w:szCs w:val="24"/>
          <w:lang w:val="en-GB" w:eastAsia="ja-JP"/>
        </w:rPr>
        <w:t>R1-</w:t>
      </w:r>
      <w:r w:rsidR="000A4311" w:rsidRPr="000A4311">
        <w:rPr>
          <w:bCs/>
          <w:noProof w:val="0"/>
          <w:sz w:val="24"/>
          <w:szCs w:val="24"/>
          <w:lang w:val="en-GB" w:eastAsia="ja-JP"/>
        </w:rPr>
        <w:t>1703104</w:t>
      </w:r>
    </w:p>
    <w:p w14:paraId="6C214CA9" w14:textId="77777777" w:rsidR="009C646F" w:rsidRPr="00573804" w:rsidRDefault="009C646F" w:rsidP="009C646F">
      <w:pPr>
        <w:tabs>
          <w:tab w:val="center" w:pos="4536"/>
          <w:tab w:val="right" w:pos="9072"/>
        </w:tabs>
        <w:rPr>
          <w:rFonts w:ascii="Arial" w:eastAsia="MS Mincho" w:hAnsi="Arial" w:cs="Arial"/>
          <w:b/>
          <w:bCs/>
          <w:sz w:val="24"/>
          <w:szCs w:val="24"/>
          <w:lang w:eastAsia="ja-JP"/>
        </w:rPr>
      </w:pPr>
      <w:r w:rsidRPr="00573804">
        <w:rPr>
          <w:rFonts w:ascii="Arial" w:eastAsia="MS Mincho" w:hAnsi="Arial" w:cs="Arial"/>
          <w:b/>
          <w:bCs/>
          <w:sz w:val="24"/>
          <w:szCs w:val="24"/>
          <w:lang w:eastAsia="ja-JP"/>
        </w:rPr>
        <w:t>Athens</w:t>
      </w:r>
      <w:r w:rsidRPr="00573804">
        <w:rPr>
          <w:rFonts w:ascii="Arial" w:hAnsi="Arial" w:cs="Arial"/>
          <w:b/>
          <w:bCs/>
          <w:sz w:val="24"/>
          <w:szCs w:val="24"/>
        </w:rPr>
        <w:t xml:space="preserve">, </w:t>
      </w:r>
      <w:r w:rsidRPr="00573804">
        <w:rPr>
          <w:rFonts w:ascii="Arial" w:eastAsia="MS Mincho" w:hAnsi="Arial" w:cs="Arial"/>
          <w:b/>
          <w:bCs/>
          <w:sz w:val="24"/>
          <w:szCs w:val="24"/>
          <w:lang w:eastAsia="ja-JP"/>
        </w:rPr>
        <w:t>Greece</w:t>
      </w:r>
      <w:r>
        <w:rPr>
          <w:rFonts w:ascii="Arial" w:eastAsia="MS Mincho" w:hAnsi="Arial" w:cs="Arial"/>
          <w:b/>
          <w:bCs/>
          <w:sz w:val="24"/>
          <w:szCs w:val="24"/>
          <w:lang w:eastAsia="ja-JP"/>
        </w:rPr>
        <w:t>,</w:t>
      </w:r>
      <w:r w:rsidRPr="00573804">
        <w:rPr>
          <w:rFonts w:ascii="Arial" w:hAnsi="Arial" w:cs="Arial"/>
          <w:b/>
          <w:bCs/>
          <w:sz w:val="24"/>
          <w:szCs w:val="24"/>
        </w:rPr>
        <w:t xml:space="preserve"> 1</w:t>
      </w:r>
      <w:r w:rsidRPr="00573804">
        <w:rPr>
          <w:rFonts w:ascii="Arial" w:eastAsia="MS Mincho" w:hAnsi="Arial" w:cs="Arial"/>
          <w:b/>
          <w:bCs/>
          <w:sz w:val="24"/>
          <w:szCs w:val="24"/>
          <w:lang w:eastAsia="ja-JP"/>
        </w:rPr>
        <w:t>3</w:t>
      </w:r>
      <w:r w:rsidRPr="00573804">
        <w:rPr>
          <w:rFonts w:ascii="Arial" w:hAnsi="Arial" w:cs="Arial"/>
          <w:b/>
          <w:bCs/>
          <w:sz w:val="24"/>
          <w:szCs w:val="24"/>
          <w:vertAlign w:val="superscript"/>
        </w:rPr>
        <w:t>th</w:t>
      </w:r>
      <w:r w:rsidRPr="00573804">
        <w:rPr>
          <w:rFonts w:ascii="Arial" w:hAnsi="Arial" w:cs="Arial"/>
          <w:b/>
          <w:bCs/>
          <w:sz w:val="24"/>
          <w:szCs w:val="24"/>
        </w:rPr>
        <w:t xml:space="preserve"> - 1</w:t>
      </w:r>
      <w:r w:rsidRPr="00573804">
        <w:rPr>
          <w:rFonts w:ascii="Arial" w:eastAsia="MS Mincho" w:hAnsi="Arial" w:cs="Arial"/>
          <w:b/>
          <w:bCs/>
          <w:sz w:val="24"/>
          <w:szCs w:val="24"/>
          <w:lang w:eastAsia="ja-JP"/>
        </w:rPr>
        <w:t>7</w:t>
      </w:r>
      <w:r w:rsidRPr="00573804">
        <w:rPr>
          <w:rFonts w:ascii="Arial" w:hAnsi="Arial" w:cs="Arial"/>
          <w:b/>
          <w:bCs/>
          <w:sz w:val="24"/>
          <w:szCs w:val="24"/>
          <w:vertAlign w:val="superscript"/>
        </w:rPr>
        <w:t>th</w:t>
      </w:r>
      <w:r w:rsidRPr="00573804">
        <w:rPr>
          <w:rFonts w:ascii="Arial" w:hAnsi="Arial" w:cs="Arial"/>
          <w:b/>
          <w:bCs/>
          <w:sz w:val="24"/>
          <w:szCs w:val="24"/>
        </w:rPr>
        <w:t xml:space="preserve"> </w:t>
      </w:r>
      <w:r w:rsidRPr="00573804">
        <w:rPr>
          <w:rFonts w:ascii="Arial" w:eastAsia="MS Mincho" w:hAnsi="Arial" w:cs="Arial"/>
          <w:b/>
          <w:bCs/>
          <w:sz w:val="24"/>
          <w:szCs w:val="24"/>
          <w:lang w:eastAsia="ja-JP"/>
        </w:rPr>
        <w:t>February</w:t>
      </w:r>
      <w:r w:rsidRPr="00573804">
        <w:rPr>
          <w:rFonts w:ascii="Arial" w:hAnsi="Arial" w:cs="Arial"/>
          <w:b/>
          <w:bCs/>
          <w:sz w:val="24"/>
          <w:szCs w:val="24"/>
        </w:rPr>
        <w:t xml:space="preserve"> 201</w:t>
      </w:r>
      <w:r w:rsidRPr="00573804">
        <w:rPr>
          <w:rFonts w:ascii="Arial" w:eastAsia="MS Mincho" w:hAnsi="Arial" w:cs="Arial"/>
          <w:b/>
          <w:bCs/>
          <w:sz w:val="24"/>
          <w:szCs w:val="24"/>
          <w:lang w:eastAsia="ja-JP"/>
        </w:rPr>
        <w:t>7</w:t>
      </w:r>
    </w:p>
    <w:p w14:paraId="5486E914" w14:textId="77777777" w:rsidR="009C646F" w:rsidRPr="00A94050" w:rsidRDefault="009C646F" w:rsidP="009C646F">
      <w:pPr>
        <w:pStyle w:val="Header"/>
        <w:rPr>
          <w:bCs/>
          <w:noProof w:val="0"/>
          <w:sz w:val="24"/>
          <w:lang w:val="en-GB" w:eastAsia="ja-JP"/>
        </w:rPr>
      </w:pPr>
    </w:p>
    <w:p w14:paraId="56A87D81" w14:textId="77777777" w:rsidR="009C646F" w:rsidRPr="00A94050" w:rsidRDefault="009C646F" w:rsidP="009C646F">
      <w:pPr>
        <w:pStyle w:val="CRCoverPage"/>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8</w:t>
      </w:r>
      <w:r w:rsidRPr="005E49A6">
        <w:rPr>
          <w:rFonts w:cs="Arial"/>
          <w:b/>
          <w:bCs/>
          <w:sz w:val="24"/>
        </w:rPr>
        <w:t>.1.</w:t>
      </w:r>
      <w:r>
        <w:rPr>
          <w:rFonts w:cs="Arial"/>
          <w:b/>
          <w:bCs/>
          <w:sz w:val="24"/>
        </w:rPr>
        <w:t>4</w:t>
      </w:r>
      <w:r w:rsidRPr="005E49A6">
        <w:rPr>
          <w:rFonts w:cs="Arial"/>
          <w:b/>
          <w:bCs/>
          <w:sz w:val="24"/>
        </w:rPr>
        <w:t>.1</w:t>
      </w:r>
    </w:p>
    <w:bookmarkEnd w:id="0"/>
    <w:bookmarkEnd w:id="1"/>
    <w:p w14:paraId="762622A9" w14:textId="77777777" w:rsidR="00E874E8" w:rsidRPr="00F174DB" w:rsidRDefault="00E874E8" w:rsidP="00E874E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7CD0E54B" w:rsidR="00E874E8" w:rsidRPr="00F174DB" w:rsidRDefault="00E874E8" w:rsidP="00E874E8">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C646F" w:rsidRPr="009C646F">
        <w:rPr>
          <w:rFonts w:ascii="Arial" w:hAnsi="Arial" w:cs="Arial"/>
          <w:b/>
          <w:bCs/>
          <w:sz w:val="24"/>
        </w:rPr>
        <w:t>Considerations for CRC attachment</w:t>
      </w:r>
    </w:p>
    <w:p w14:paraId="6D3C68A4" w14:textId="77777777" w:rsidR="00E874E8" w:rsidRPr="007B7496" w:rsidRDefault="00E874E8" w:rsidP="00E874E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40E97B6C" w14:textId="5DDAB980" w:rsidR="009C646F" w:rsidRPr="009C646F" w:rsidRDefault="00B013E7" w:rsidP="00C11369">
      <w:pPr>
        <w:jc w:val="both"/>
        <w:rPr>
          <w:rFonts w:ascii="Times New Roman" w:hAnsi="Times New Roman" w:cs="Times New Roman"/>
          <w:sz w:val="20"/>
          <w:szCs w:val="20"/>
        </w:rPr>
      </w:pPr>
      <w:r w:rsidRPr="009C646F">
        <w:rPr>
          <w:rFonts w:ascii="Times New Roman" w:hAnsi="Times New Roman" w:cs="Times New Roman"/>
          <w:sz w:val="20"/>
          <w:szCs w:val="20"/>
        </w:rPr>
        <w:t>In Ran1 #</w:t>
      </w:r>
      <w:r w:rsidR="009C646F" w:rsidRPr="009C646F">
        <w:rPr>
          <w:rFonts w:ascii="Times New Roman" w:hAnsi="Times New Roman" w:cs="Times New Roman"/>
          <w:sz w:val="20"/>
          <w:szCs w:val="20"/>
        </w:rPr>
        <w:t xml:space="preserve">NR Ad-Hoc </w:t>
      </w:r>
      <w:r w:rsidR="00E874E8" w:rsidRPr="009C646F">
        <w:rPr>
          <w:rFonts w:ascii="Times New Roman" w:hAnsi="Times New Roman" w:cs="Times New Roman"/>
          <w:sz w:val="20"/>
          <w:szCs w:val="20"/>
        </w:rPr>
        <w:t>meeting</w:t>
      </w:r>
      <w:r w:rsidRPr="009C646F">
        <w:rPr>
          <w:rFonts w:ascii="Times New Roman" w:hAnsi="Times New Roman" w:cs="Times New Roman"/>
          <w:sz w:val="20"/>
          <w:szCs w:val="20"/>
        </w:rPr>
        <w:t xml:space="preserve">, </w:t>
      </w:r>
      <w:r w:rsidR="009C646F" w:rsidRPr="009C646F">
        <w:rPr>
          <w:rFonts w:ascii="Times New Roman" w:hAnsi="Times New Roman" w:cs="Times New Roman"/>
          <w:sz w:val="20"/>
          <w:szCs w:val="20"/>
        </w:rPr>
        <w:t xml:space="preserve">discussions on CRC attachment for </w:t>
      </w:r>
      <w:r w:rsidR="002F3C35" w:rsidRPr="009C646F">
        <w:rPr>
          <w:rFonts w:ascii="Times New Roman" w:hAnsi="Times New Roman" w:cs="Times New Roman"/>
          <w:sz w:val="20"/>
          <w:szCs w:val="20"/>
        </w:rPr>
        <w:t xml:space="preserve">LDPC </w:t>
      </w:r>
      <w:r w:rsidR="000A4311" w:rsidRPr="009C646F">
        <w:rPr>
          <w:rFonts w:ascii="Times New Roman" w:hAnsi="Times New Roman" w:cs="Times New Roman"/>
          <w:sz w:val="20"/>
          <w:szCs w:val="20"/>
        </w:rPr>
        <w:t>formed</w:t>
      </w:r>
      <w:r w:rsidR="009C646F" w:rsidRPr="009C646F">
        <w:rPr>
          <w:rFonts w:ascii="Times New Roman" w:hAnsi="Times New Roman" w:cs="Times New Roman"/>
          <w:sz w:val="20"/>
          <w:szCs w:val="20"/>
        </w:rPr>
        <w:t xml:space="preserve"> the following agreement. </w:t>
      </w:r>
    </w:p>
    <w:p w14:paraId="76E2EF1A" w14:textId="77777777" w:rsidR="009C646F" w:rsidRPr="000A4311" w:rsidRDefault="009C646F" w:rsidP="009C646F">
      <w:pPr>
        <w:rPr>
          <w:rFonts w:ascii="Times New Roman" w:eastAsia="MS Mincho" w:hAnsi="Times New Roman"/>
          <w:b/>
          <w:sz w:val="20"/>
          <w:szCs w:val="20"/>
          <w:highlight w:val="green"/>
          <w:u w:val="single"/>
          <w:lang w:eastAsia="ja-JP"/>
        </w:rPr>
      </w:pPr>
      <w:r w:rsidRPr="000A4311">
        <w:rPr>
          <w:rFonts w:ascii="Times New Roman" w:eastAsia="MS Mincho" w:hAnsi="Times New Roman"/>
          <w:b/>
          <w:sz w:val="20"/>
          <w:szCs w:val="20"/>
          <w:highlight w:val="green"/>
          <w:u w:val="single"/>
          <w:lang w:eastAsia="ja-JP"/>
        </w:rPr>
        <w:t>Agreement:</w:t>
      </w:r>
    </w:p>
    <w:p w14:paraId="7AFBA6BD" w14:textId="77777777" w:rsidR="009C646F" w:rsidRPr="000A4311" w:rsidRDefault="009C646F" w:rsidP="009C646F">
      <w:pPr>
        <w:numPr>
          <w:ilvl w:val="0"/>
          <w:numId w:val="43"/>
        </w:numPr>
        <w:spacing w:after="0" w:line="240" w:lineRule="auto"/>
        <w:rPr>
          <w:rFonts w:ascii="Times New Roman" w:eastAsia="MS Mincho" w:hAnsi="Times New Roman"/>
          <w:sz w:val="20"/>
          <w:szCs w:val="20"/>
          <w:lang w:eastAsia="ja-JP"/>
        </w:rPr>
      </w:pPr>
      <w:r w:rsidRPr="000A4311">
        <w:rPr>
          <w:rFonts w:ascii="Times New Roman" w:eastAsia="MS Mincho" w:hAnsi="Times New Roman"/>
          <w:sz w:val="20"/>
          <w:szCs w:val="20"/>
          <w:lang w:val="en-US" w:eastAsia="ja-JP"/>
        </w:rPr>
        <w:t>Before code block segmentation, L</w:t>
      </w:r>
      <w:r w:rsidRPr="000A4311">
        <w:rPr>
          <w:rFonts w:ascii="Times New Roman" w:eastAsia="MS Mincho" w:hAnsi="Times New Roman"/>
          <w:sz w:val="20"/>
          <w:szCs w:val="20"/>
          <w:vertAlign w:val="subscript"/>
          <w:lang w:val="en-US" w:eastAsia="ja-JP"/>
        </w:rPr>
        <w:t>TB,CRC</w:t>
      </w:r>
      <w:r w:rsidRPr="000A4311">
        <w:rPr>
          <w:rFonts w:ascii="Times New Roman" w:eastAsia="MS Mincho" w:hAnsi="Times New Roman"/>
          <w:sz w:val="20"/>
          <w:szCs w:val="20"/>
          <w:lang w:val="en-US" w:eastAsia="ja-JP"/>
        </w:rPr>
        <w:t xml:space="preserve"> bit TB-level CRC are attached to the end of the transport block</w:t>
      </w:r>
    </w:p>
    <w:p w14:paraId="233888E3" w14:textId="77777777" w:rsidR="009C646F" w:rsidRPr="000A4311" w:rsidRDefault="009C646F" w:rsidP="009C646F">
      <w:pPr>
        <w:numPr>
          <w:ilvl w:val="1"/>
          <w:numId w:val="43"/>
        </w:numPr>
        <w:spacing w:after="0" w:line="240" w:lineRule="auto"/>
        <w:rPr>
          <w:rFonts w:ascii="Times New Roman" w:eastAsia="MS Mincho" w:hAnsi="Times New Roman"/>
          <w:sz w:val="20"/>
          <w:szCs w:val="20"/>
          <w:lang w:eastAsia="ja-JP"/>
        </w:rPr>
      </w:pPr>
      <w:r w:rsidRPr="000A4311">
        <w:rPr>
          <w:rFonts w:ascii="Times New Roman" w:eastAsia="MS Mincho" w:hAnsi="Times New Roman"/>
          <w:sz w:val="20"/>
          <w:szCs w:val="20"/>
          <w:lang w:val="en-US" w:eastAsia="ja-JP"/>
        </w:rPr>
        <w:t>L</w:t>
      </w:r>
      <w:r w:rsidRPr="000A4311">
        <w:rPr>
          <w:rFonts w:ascii="Times New Roman" w:eastAsia="MS Mincho" w:hAnsi="Times New Roman"/>
          <w:sz w:val="20"/>
          <w:szCs w:val="20"/>
          <w:vertAlign w:val="subscript"/>
          <w:lang w:val="en-US" w:eastAsia="ja-JP"/>
        </w:rPr>
        <w:t xml:space="preserve">TB,CRC </w:t>
      </w:r>
      <w:r w:rsidRPr="000A4311">
        <w:rPr>
          <w:rFonts w:ascii="Times New Roman" w:eastAsia="MS Mincho" w:hAnsi="Times New Roman"/>
          <w:sz w:val="20"/>
          <w:szCs w:val="20"/>
          <w:lang w:val="en-US" w:eastAsia="ja-JP"/>
        </w:rPr>
        <w:t>&lt;=24 bits</w:t>
      </w:r>
    </w:p>
    <w:p w14:paraId="4AE8396A" w14:textId="77777777" w:rsidR="009C646F" w:rsidRPr="000A4311" w:rsidRDefault="009C646F" w:rsidP="009C646F">
      <w:pPr>
        <w:numPr>
          <w:ilvl w:val="1"/>
          <w:numId w:val="43"/>
        </w:numPr>
        <w:spacing w:after="0" w:line="240" w:lineRule="auto"/>
        <w:rPr>
          <w:rFonts w:ascii="Times New Roman" w:eastAsia="MS Mincho" w:hAnsi="Times New Roman"/>
          <w:sz w:val="20"/>
          <w:szCs w:val="20"/>
          <w:lang w:eastAsia="ja-JP"/>
        </w:rPr>
      </w:pPr>
      <w:r w:rsidRPr="000A4311">
        <w:rPr>
          <w:rFonts w:ascii="Times New Roman" w:eastAsia="MS Mincho" w:hAnsi="Times New Roman"/>
          <w:sz w:val="20"/>
          <w:szCs w:val="20"/>
          <w:lang w:val="en-US" w:eastAsia="ja-JP"/>
        </w:rPr>
        <w:t>L</w:t>
      </w:r>
      <w:r w:rsidRPr="000A4311">
        <w:rPr>
          <w:rFonts w:ascii="Times New Roman" w:eastAsia="MS Mincho" w:hAnsi="Times New Roman"/>
          <w:sz w:val="20"/>
          <w:szCs w:val="20"/>
          <w:vertAlign w:val="subscript"/>
          <w:lang w:val="en-US" w:eastAsia="ja-JP"/>
        </w:rPr>
        <w:t>TB,CRC</w:t>
      </w:r>
      <w:r w:rsidRPr="000A4311">
        <w:rPr>
          <w:rFonts w:ascii="Times New Roman" w:eastAsia="MS Mincho" w:hAnsi="Times New Roman"/>
          <w:sz w:val="20"/>
          <w:szCs w:val="20"/>
          <w:lang w:val="en-US" w:eastAsia="ja-JP"/>
        </w:rPr>
        <w:t xml:space="preserve"> value is determined to satisfy probability of misdetection of TB error &lt;=10</w:t>
      </w:r>
      <w:r w:rsidRPr="000A4311">
        <w:rPr>
          <w:rFonts w:ascii="Times New Roman" w:eastAsia="MS Mincho" w:hAnsi="Times New Roman"/>
          <w:sz w:val="20"/>
          <w:szCs w:val="20"/>
          <w:vertAlign w:val="superscript"/>
          <w:lang w:val="en-US" w:eastAsia="ja-JP"/>
        </w:rPr>
        <w:t>-6</w:t>
      </w:r>
    </w:p>
    <w:p w14:paraId="49EF8640" w14:textId="3D7851EE" w:rsidR="009C646F" w:rsidRPr="00CC29DB" w:rsidRDefault="009C646F" w:rsidP="009C646F">
      <w:pPr>
        <w:numPr>
          <w:ilvl w:val="1"/>
          <w:numId w:val="43"/>
        </w:numPr>
        <w:spacing w:after="0" w:line="240" w:lineRule="auto"/>
        <w:rPr>
          <w:rFonts w:ascii="Times New Roman" w:eastAsia="MS Mincho" w:hAnsi="Times New Roman"/>
          <w:sz w:val="20"/>
          <w:szCs w:val="20"/>
          <w:lang w:eastAsia="ja-JP"/>
        </w:rPr>
      </w:pPr>
      <w:r w:rsidRPr="000A4311">
        <w:rPr>
          <w:rFonts w:ascii="Times New Roman" w:eastAsia="MS Mincho" w:hAnsi="Times New Roman"/>
          <w:sz w:val="20"/>
          <w:szCs w:val="20"/>
          <w:lang w:val="en-US" w:eastAsia="ja-JP"/>
        </w:rPr>
        <w:t>Inherent error detection of LDPC codes is taken into account in determining the L</w:t>
      </w:r>
      <w:r w:rsidRPr="000A4311">
        <w:rPr>
          <w:rFonts w:ascii="Times New Roman" w:eastAsia="MS Mincho" w:hAnsi="Times New Roman"/>
          <w:sz w:val="20"/>
          <w:szCs w:val="20"/>
          <w:vertAlign w:val="subscript"/>
          <w:lang w:val="en-US" w:eastAsia="ja-JP"/>
        </w:rPr>
        <w:t>TB,CRC</w:t>
      </w:r>
      <w:r w:rsidRPr="000A4311">
        <w:rPr>
          <w:rFonts w:ascii="Times New Roman" w:eastAsia="MS Mincho" w:hAnsi="Times New Roman"/>
          <w:sz w:val="20"/>
          <w:szCs w:val="20"/>
          <w:lang w:val="en-US" w:eastAsia="ja-JP"/>
        </w:rPr>
        <w:t xml:space="preserve"> value</w:t>
      </w:r>
    </w:p>
    <w:p w14:paraId="4BEBE40A" w14:textId="77777777" w:rsidR="00CC29DB" w:rsidRPr="000A4311" w:rsidRDefault="00CC29DB" w:rsidP="00CC29DB">
      <w:pPr>
        <w:spacing w:after="0" w:line="240" w:lineRule="auto"/>
        <w:ind w:left="1440"/>
        <w:rPr>
          <w:rFonts w:ascii="Times New Roman" w:eastAsia="MS Mincho" w:hAnsi="Times New Roman"/>
          <w:sz w:val="20"/>
          <w:szCs w:val="20"/>
          <w:lang w:eastAsia="ja-JP"/>
        </w:rPr>
      </w:pPr>
    </w:p>
    <w:p w14:paraId="58B6F69E" w14:textId="7AE8053D" w:rsidR="00013030" w:rsidRDefault="00013030" w:rsidP="00C11369">
      <w:pPr>
        <w:jc w:val="both"/>
        <w:rPr>
          <w:rFonts w:ascii="Times New Roman" w:hAnsi="Times New Roman" w:cs="Times New Roman"/>
          <w:sz w:val="20"/>
          <w:szCs w:val="20"/>
        </w:rPr>
      </w:pPr>
      <w:r w:rsidRPr="00013030">
        <w:rPr>
          <w:rFonts w:ascii="Times New Roman" w:hAnsi="Times New Roman" w:cs="Times New Roman"/>
          <w:sz w:val="20"/>
          <w:szCs w:val="20"/>
        </w:rPr>
        <w:t xml:space="preserve">In [1], we proposed that transport block (TB) CRC should be determined together with the CB parity check and CB group (CBG) level CRC attachment by highlighting benefits of three-tier error detection scheme. In this contribution, we further highlight benefits of such error detection method and propose evaluation criteria to determine the best </w:t>
      </w:r>
      <w:r w:rsidR="00CC29DB">
        <w:rPr>
          <w:rFonts w:ascii="Times New Roman" w:hAnsi="Times New Roman" w:cs="Times New Roman"/>
          <w:sz w:val="20"/>
          <w:szCs w:val="20"/>
        </w:rPr>
        <w:t xml:space="preserve">CRC attachment </w:t>
      </w:r>
      <w:r w:rsidRPr="00013030">
        <w:rPr>
          <w:rFonts w:ascii="Times New Roman" w:hAnsi="Times New Roman" w:cs="Times New Roman"/>
          <w:sz w:val="20"/>
          <w:szCs w:val="20"/>
        </w:rPr>
        <w:t xml:space="preserve">approach for </w:t>
      </w:r>
      <w:r w:rsidR="00A55389">
        <w:rPr>
          <w:rFonts w:ascii="Times New Roman" w:hAnsi="Times New Roman" w:cs="Times New Roman"/>
          <w:sz w:val="20"/>
          <w:szCs w:val="20"/>
        </w:rPr>
        <w:t xml:space="preserve">the </w:t>
      </w:r>
      <w:r w:rsidRPr="00013030">
        <w:rPr>
          <w:rFonts w:ascii="Times New Roman" w:hAnsi="Times New Roman" w:cs="Times New Roman"/>
          <w:sz w:val="20"/>
          <w:szCs w:val="20"/>
        </w:rPr>
        <w:t xml:space="preserve">eMBB data channel. </w:t>
      </w:r>
    </w:p>
    <w:p w14:paraId="5F471C68" w14:textId="084F72EB" w:rsidR="00214D8F" w:rsidRDefault="00B10DFE" w:rsidP="00B10DFE">
      <w:pPr>
        <w:pStyle w:val="Heading1"/>
        <w:rPr>
          <w:lang w:eastAsia="zh-CN"/>
        </w:rPr>
      </w:pPr>
      <w:bookmarkStart w:id="2" w:name="OLE_LINK9"/>
      <w:bookmarkStart w:id="3" w:name="OLE_LINK10"/>
      <w:bookmarkStart w:id="4" w:name="OLE_LINK13"/>
      <w:bookmarkStart w:id="5" w:name="OLE_LINK14"/>
      <w:r>
        <w:rPr>
          <w:lang w:eastAsia="zh-CN"/>
        </w:rPr>
        <w:t>2</w:t>
      </w:r>
      <w:r>
        <w:rPr>
          <w:lang w:eastAsia="zh-CN"/>
        </w:rPr>
        <w:tab/>
      </w:r>
      <w:r w:rsidR="00197132">
        <w:rPr>
          <w:lang w:eastAsia="zh-CN"/>
        </w:rPr>
        <w:t xml:space="preserve">Discussion </w:t>
      </w:r>
    </w:p>
    <w:p w14:paraId="6ACDC415" w14:textId="77777777" w:rsidR="00013030" w:rsidRPr="007B48FD" w:rsidRDefault="00013030" w:rsidP="00013030">
      <w:pPr>
        <w:jc w:val="both"/>
        <w:rPr>
          <w:rFonts w:ascii="Times New Roman" w:hAnsi="Times New Roman" w:cs="Times New Roman"/>
          <w:sz w:val="20"/>
          <w:szCs w:val="20"/>
          <w:lang w:eastAsia="zh-CN"/>
        </w:rPr>
      </w:pPr>
      <w:r w:rsidRPr="007B48FD">
        <w:rPr>
          <w:rFonts w:ascii="Times New Roman" w:hAnsi="Times New Roman" w:cs="Times New Roman"/>
          <w:sz w:val="20"/>
          <w:szCs w:val="20"/>
          <w:lang w:eastAsia="zh-CN"/>
        </w:rPr>
        <w:t xml:space="preserve">The code block CRC attachment generally discussed together with code segmentation mechanism. We provide some initial discussions on code segmentation in [2]. However, the CRC attachment procedure we presented in [1] is not only limited to the proposed segmentation principles in [2]. </w:t>
      </w:r>
    </w:p>
    <w:p w14:paraId="40B684DB" w14:textId="25C314CB" w:rsidR="00013030" w:rsidRPr="007B48FD" w:rsidRDefault="00013030" w:rsidP="00013030">
      <w:pPr>
        <w:jc w:val="both"/>
        <w:rPr>
          <w:rFonts w:ascii="Times New Roman" w:hAnsi="Times New Roman" w:cs="Times New Roman"/>
          <w:sz w:val="20"/>
          <w:szCs w:val="20"/>
          <w:lang w:eastAsia="zh-CN"/>
        </w:rPr>
      </w:pPr>
      <w:r w:rsidRPr="007B48FD">
        <w:rPr>
          <w:rFonts w:ascii="Times New Roman" w:hAnsi="Times New Roman" w:cs="Times New Roman"/>
          <w:sz w:val="20"/>
          <w:szCs w:val="20"/>
          <w:lang w:eastAsia="zh-CN"/>
        </w:rPr>
        <w:t xml:space="preserve">CRC overhead </w:t>
      </w:r>
      <w:r w:rsidR="00CC29DB">
        <w:rPr>
          <w:rFonts w:ascii="Times New Roman" w:hAnsi="Times New Roman" w:cs="Times New Roman"/>
          <w:sz w:val="20"/>
          <w:szCs w:val="20"/>
          <w:lang w:eastAsia="zh-CN"/>
        </w:rPr>
        <w:t>in the case of</w:t>
      </w:r>
      <w:r w:rsidRPr="007B48FD">
        <w:rPr>
          <w:rFonts w:ascii="Times New Roman" w:hAnsi="Times New Roman" w:cs="Times New Roman"/>
          <w:sz w:val="20"/>
          <w:szCs w:val="20"/>
          <w:lang w:eastAsia="zh-CN"/>
        </w:rPr>
        <w:t xml:space="preserve"> having separate CRC per CB is significant </w:t>
      </w:r>
      <w:r w:rsidR="00CC29DB">
        <w:rPr>
          <w:rFonts w:ascii="Times New Roman" w:hAnsi="Times New Roman" w:cs="Times New Roman"/>
          <w:sz w:val="20"/>
          <w:szCs w:val="20"/>
          <w:lang w:eastAsia="zh-CN"/>
        </w:rPr>
        <w:t xml:space="preserve">when </w:t>
      </w:r>
      <w:r w:rsidRPr="007B48FD">
        <w:rPr>
          <w:rFonts w:ascii="Times New Roman" w:hAnsi="Times New Roman" w:cs="Times New Roman"/>
          <w:sz w:val="20"/>
          <w:szCs w:val="20"/>
          <w:lang w:eastAsia="zh-CN"/>
        </w:rPr>
        <w:t>compared to grouping CRC attachment to several CBs, which we refer as CB group (CBG)</w:t>
      </w:r>
      <w:r w:rsidR="00CC29DB">
        <w:rPr>
          <w:rFonts w:ascii="Times New Roman" w:hAnsi="Times New Roman" w:cs="Times New Roman"/>
          <w:sz w:val="20"/>
          <w:szCs w:val="20"/>
          <w:lang w:eastAsia="zh-CN"/>
        </w:rPr>
        <w:t xml:space="preserve"> level CRC attachment</w:t>
      </w:r>
      <w:r w:rsidRPr="007B48FD">
        <w:rPr>
          <w:rFonts w:ascii="Times New Roman" w:hAnsi="Times New Roman" w:cs="Times New Roman"/>
          <w:sz w:val="20"/>
          <w:szCs w:val="20"/>
          <w:lang w:eastAsia="zh-CN"/>
        </w:rPr>
        <w:t>. In Figure 1, we provide overhead comparison of having CB level CRC</w:t>
      </w:r>
      <w:r w:rsidR="00CC29DB">
        <w:rPr>
          <w:rFonts w:ascii="Times New Roman" w:hAnsi="Times New Roman" w:cs="Times New Roman"/>
          <w:sz w:val="20"/>
          <w:szCs w:val="20"/>
          <w:lang w:eastAsia="zh-CN"/>
        </w:rPr>
        <w:t xml:space="preserve"> versus</w:t>
      </w:r>
      <w:r w:rsidRPr="007B48FD">
        <w:rPr>
          <w:rFonts w:ascii="Times New Roman" w:hAnsi="Times New Roman" w:cs="Times New Roman"/>
          <w:sz w:val="20"/>
          <w:szCs w:val="20"/>
          <w:lang w:eastAsia="zh-CN"/>
        </w:rPr>
        <w:t xml:space="preserve"> CBG level CRC (two cases with 4 and 8 CBs per group). In Ran1 #NR Ad-Hoc, Ran1 had an agreement on maximum CB size (CBS) </w:t>
      </w:r>
      <w:r w:rsidR="00CC29DB">
        <w:rPr>
          <w:rFonts w:ascii="Times New Roman" w:hAnsi="Times New Roman" w:cs="Times New Roman"/>
          <w:sz w:val="20"/>
          <w:szCs w:val="20"/>
          <w:lang w:eastAsia="zh-CN"/>
        </w:rPr>
        <w:t xml:space="preserve">to be picked </w:t>
      </w:r>
      <w:r w:rsidRPr="007B48FD">
        <w:rPr>
          <w:rFonts w:ascii="Times New Roman" w:hAnsi="Times New Roman" w:cs="Times New Roman"/>
          <w:sz w:val="20"/>
          <w:szCs w:val="20"/>
          <w:lang w:eastAsia="zh-CN"/>
        </w:rPr>
        <w:t xml:space="preserve">around 8192 bits. We use that maximum CBS with LTE 20 MHz transport block size for </w:t>
      </w:r>
      <w:r w:rsidR="00CC29DB">
        <w:rPr>
          <w:rFonts w:ascii="Times New Roman" w:hAnsi="Times New Roman" w:cs="Times New Roman"/>
          <w:sz w:val="20"/>
          <w:szCs w:val="20"/>
          <w:lang w:eastAsia="zh-CN"/>
        </w:rPr>
        <w:t xml:space="preserve">a </w:t>
      </w:r>
      <w:r w:rsidRPr="007B48FD">
        <w:rPr>
          <w:rFonts w:ascii="Times New Roman" w:hAnsi="Times New Roman" w:cs="Times New Roman"/>
          <w:sz w:val="20"/>
          <w:szCs w:val="20"/>
          <w:lang w:eastAsia="zh-CN"/>
        </w:rPr>
        <w:t xml:space="preserve">higher MCS level to find the number of CBs. With single </w:t>
      </w:r>
      <w:r w:rsidR="00CC29DB">
        <w:rPr>
          <w:rFonts w:ascii="Times New Roman" w:hAnsi="Times New Roman" w:cs="Times New Roman"/>
          <w:sz w:val="20"/>
          <w:szCs w:val="20"/>
          <w:lang w:eastAsia="zh-CN"/>
        </w:rPr>
        <w:t xml:space="preserve">MIMO </w:t>
      </w:r>
      <w:r w:rsidRPr="007B48FD">
        <w:rPr>
          <w:rFonts w:ascii="Times New Roman" w:hAnsi="Times New Roman" w:cs="Times New Roman"/>
          <w:sz w:val="20"/>
          <w:szCs w:val="20"/>
          <w:lang w:eastAsia="zh-CN"/>
        </w:rPr>
        <w:t xml:space="preserve">layer, it </w:t>
      </w:r>
      <w:r w:rsidR="00CC29DB">
        <w:rPr>
          <w:rFonts w:ascii="Times New Roman" w:hAnsi="Times New Roman" w:cs="Times New Roman"/>
          <w:sz w:val="20"/>
          <w:szCs w:val="20"/>
          <w:lang w:eastAsia="zh-CN"/>
        </w:rPr>
        <w:t>can be</w:t>
      </w:r>
      <w:r w:rsidRPr="007B48FD">
        <w:rPr>
          <w:rFonts w:ascii="Times New Roman" w:hAnsi="Times New Roman" w:cs="Times New Roman"/>
          <w:sz w:val="20"/>
          <w:szCs w:val="20"/>
          <w:lang w:eastAsia="zh-CN"/>
        </w:rPr>
        <w:t xml:space="preserve"> around 11 CBs</w:t>
      </w:r>
      <w:r w:rsidR="00CC29DB">
        <w:rPr>
          <w:rFonts w:ascii="Times New Roman" w:hAnsi="Times New Roman" w:cs="Times New Roman"/>
          <w:sz w:val="20"/>
          <w:szCs w:val="20"/>
          <w:lang w:eastAsia="zh-CN"/>
        </w:rPr>
        <w:t xml:space="preserve"> per TB</w:t>
      </w:r>
      <w:r w:rsidRPr="007B48FD">
        <w:rPr>
          <w:rFonts w:ascii="Times New Roman" w:hAnsi="Times New Roman" w:cs="Times New Roman"/>
          <w:sz w:val="20"/>
          <w:szCs w:val="20"/>
          <w:lang w:eastAsia="zh-CN"/>
        </w:rPr>
        <w:t xml:space="preserve">. We </w:t>
      </w:r>
      <w:r w:rsidR="00CC29DB">
        <w:rPr>
          <w:rFonts w:ascii="Times New Roman" w:hAnsi="Times New Roman" w:cs="Times New Roman"/>
          <w:sz w:val="20"/>
          <w:szCs w:val="20"/>
          <w:lang w:eastAsia="zh-CN"/>
        </w:rPr>
        <w:t xml:space="preserve">also </w:t>
      </w:r>
      <w:r w:rsidRPr="007B48FD">
        <w:rPr>
          <w:rFonts w:ascii="Times New Roman" w:hAnsi="Times New Roman" w:cs="Times New Roman"/>
          <w:sz w:val="20"/>
          <w:szCs w:val="20"/>
          <w:lang w:eastAsia="zh-CN"/>
        </w:rPr>
        <w:t xml:space="preserve">assume bandwidth increase up to 200 MHz and the predicted number of CBs </w:t>
      </w:r>
      <w:r w:rsidR="00CC29DB">
        <w:rPr>
          <w:rFonts w:ascii="Times New Roman" w:hAnsi="Times New Roman" w:cs="Times New Roman"/>
          <w:sz w:val="20"/>
          <w:szCs w:val="20"/>
          <w:lang w:eastAsia="zh-CN"/>
        </w:rPr>
        <w:t xml:space="preserve">is mentioned </w:t>
      </w:r>
      <w:r w:rsidRPr="007B48FD">
        <w:rPr>
          <w:rFonts w:ascii="Times New Roman" w:hAnsi="Times New Roman" w:cs="Times New Roman"/>
          <w:sz w:val="20"/>
          <w:szCs w:val="20"/>
          <w:lang w:eastAsia="zh-CN"/>
        </w:rPr>
        <w:t xml:space="preserve">in </w:t>
      </w:r>
      <w:r w:rsidR="00CC29DB">
        <w:rPr>
          <w:rFonts w:ascii="Times New Roman" w:hAnsi="Times New Roman" w:cs="Times New Roman"/>
          <w:sz w:val="20"/>
          <w:szCs w:val="20"/>
          <w:lang w:eastAsia="zh-CN"/>
        </w:rPr>
        <w:t>X</w:t>
      </w:r>
      <w:r w:rsidRPr="007B48FD">
        <w:rPr>
          <w:rFonts w:ascii="Times New Roman" w:hAnsi="Times New Roman" w:cs="Times New Roman"/>
          <w:sz w:val="20"/>
          <w:szCs w:val="20"/>
          <w:lang w:eastAsia="zh-CN"/>
        </w:rPr>
        <w:t xml:space="preserve">-axis of Figure 1. The number of CBs </w:t>
      </w:r>
      <w:r w:rsidR="00CC29DB">
        <w:rPr>
          <w:rFonts w:ascii="Times New Roman" w:hAnsi="Times New Roman" w:cs="Times New Roman"/>
          <w:sz w:val="20"/>
          <w:szCs w:val="20"/>
          <w:lang w:eastAsia="zh-CN"/>
        </w:rPr>
        <w:t>can</w:t>
      </w:r>
      <w:r w:rsidRPr="007B48FD">
        <w:rPr>
          <w:rFonts w:ascii="Times New Roman" w:hAnsi="Times New Roman" w:cs="Times New Roman"/>
          <w:sz w:val="20"/>
          <w:szCs w:val="20"/>
          <w:lang w:eastAsia="zh-CN"/>
        </w:rPr>
        <w:t xml:space="preserve"> further increase depending on the </w:t>
      </w:r>
      <w:r w:rsidR="00CC29DB">
        <w:rPr>
          <w:rFonts w:ascii="Times New Roman" w:hAnsi="Times New Roman" w:cs="Times New Roman"/>
          <w:sz w:val="20"/>
          <w:szCs w:val="20"/>
          <w:lang w:eastAsia="zh-CN"/>
        </w:rPr>
        <w:t xml:space="preserve">bandwidth, </w:t>
      </w:r>
      <w:r w:rsidRPr="007B48FD">
        <w:rPr>
          <w:rFonts w:ascii="Times New Roman" w:hAnsi="Times New Roman" w:cs="Times New Roman"/>
          <w:sz w:val="20"/>
          <w:szCs w:val="20"/>
          <w:lang w:eastAsia="zh-CN"/>
        </w:rPr>
        <w:t>multi-antenna configuration</w:t>
      </w:r>
      <w:r w:rsidR="00CC29DB">
        <w:rPr>
          <w:rFonts w:ascii="Times New Roman" w:hAnsi="Times New Roman" w:cs="Times New Roman"/>
          <w:sz w:val="20"/>
          <w:szCs w:val="20"/>
          <w:lang w:eastAsia="zh-CN"/>
        </w:rPr>
        <w:t>,</w:t>
      </w:r>
      <w:r w:rsidRPr="007B48FD">
        <w:rPr>
          <w:rFonts w:ascii="Times New Roman" w:hAnsi="Times New Roman" w:cs="Times New Roman"/>
          <w:sz w:val="20"/>
          <w:szCs w:val="20"/>
          <w:lang w:eastAsia="zh-CN"/>
        </w:rPr>
        <w:t xml:space="preserve"> and CBS (if lower than maximum) that we use in the segmentation. We assume 16 CRC bits </w:t>
      </w:r>
      <w:r w:rsidR="00CC29DB">
        <w:rPr>
          <w:rFonts w:ascii="Times New Roman" w:hAnsi="Times New Roman" w:cs="Times New Roman"/>
          <w:sz w:val="20"/>
          <w:szCs w:val="20"/>
          <w:lang w:eastAsia="zh-CN"/>
        </w:rPr>
        <w:t>per</w:t>
      </w:r>
      <w:r w:rsidRPr="007B48FD">
        <w:rPr>
          <w:rFonts w:ascii="Times New Roman" w:hAnsi="Times New Roman" w:cs="Times New Roman"/>
          <w:sz w:val="20"/>
          <w:szCs w:val="20"/>
          <w:lang w:eastAsia="zh-CN"/>
        </w:rPr>
        <w:t xml:space="preserve"> LDPC CB when CB </w:t>
      </w:r>
      <w:r w:rsidR="00CC29DB">
        <w:rPr>
          <w:rFonts w:ascii="Times New Roman" w:hAnsi="Times New Roman" w:cs="Times New Roman"/>
          <w:sz w:val="20"/>
          <w:szCs w:val="20"/>
          <w:lang w:eastAsia="zh-CN"/>
        </w:rPr>
        <w:t xml:space="preserve">level </w:t>
      </w:r>
      <w:r w:rsidRPr="007B48FD">
        <w:rPr>
          <w:rFonts w:ascii="Times New Roman" w:hAnsi="Times New Roman" w:cs="Times New Roman"/>
          <w:sz w:val="20"/>
          <w:szCs w:val="20"/>
          <w:lang w:eastAsia="zh-CN"/>
        </w:rPr>
        <w:t xml:space="preserve">CRC is used, </w:t>
      </w:r>
      <w:r w:rsidR="00CC29DB">
        <w:rPr>
          <w:rFonts w:ascii="Times New Roman" w:hAnsi="Times New Roman" w:cs="Times New Roman"/>
          <w:sz w:val="20"/>
          <w:szCs w:val="20"/>
          <w:lang w:eastAsia="zh-CN"/>
        </w:rPr>
        <w:t>and 16 CRC bits is used per</w:t>
      </w:r>
      <w:r w:rsidRPr="007B48FD">
        <w:rPr>
          <w:rFonts w:ascii="Times New Roman" w:hAnsi="Times New Roman" w:cs="Times New Roman"/>
          <w:sz w:val="20"/>
          <w:szCs w:val="20"/>
          <w:lang w:eastAsia="zh-CN"/>
        </w:rPr>
        <w:t xml:space="preserve"> each CBG without appending CRC bits to </w:t>
      </w:r>
      <w:r w:rsidR="00CC29DB">
        <w:rPr>
          <w:rFonts w:ascii="Times New Roman" w:hAnsi="Times New Roman" w:cs="Times New Roman"/>
          <w:sz w:val="20"/>
          <w:szCs w:val="20"/>
          <w:lang w:eastAsia="zh-CN"/>
        </w:rPr>
        <w:t>at</w:t>
      </w:r>
      <w:r w:rsidRPr="007B48FD">
        <w:rPr>
          <w:rFonts w:ascii="Times New Roman" w:hAnsi="Times New Roman" w:cs="Times New Roman"/>
          <w:sz w:val="20"/>
          <w:szCs w:val="20"/>
          <w:lang w:eastAsia="zh-CN"/>
        </w:rPr>
        <w:t xml:space="preserve"> CB</w:t>
      </w:r>
      <w:r w:rsidR="00CC29DB">
        <w:rPr>
          <w:rFonts w:ascii="Times New Roman" w:hAnsi="Times New Roman" w:cs="Times New Roman"/>
          <w:sz w:val="20"/>
          <w:szCs w:val="20"/>
          <w:lang w:eastAsia="zh-CN"/>
        </w:rPr>
        <w:t xml:space="preserve"> level</w:t>
      </w:r>
      <w:r w:rsidRPr="007B48FD">
        <w:rPr>
          <w:rFonts w:ascii="Times New Roman" w:hAnsi="Times New Roman" w:cs="Times New Roman"/>
          <w:sz w:val="20"/>
          <w:szCs w:val="20"/>
          <w:lang w:eastAsia="zh-CN"/>
        </w:rPr>
        <w:t>.</w:t>
      </w:r>
    </w:p>
    <w:p w14:paraId="2D5A5D88" w14:textId="40242BCF" w:rsidR="00C2347B" w:rsidRDefault="00197132" w:rsidP="00023AF5">
      <w:pPr>
        <w:jc w:val="center"/>
        <w:rPr>
          <w:rFonts w:ascii="Times New Roman" w:hAnsi="Times New Roman" w:cs="Times New Roman"/>
          <w:sz w:val="20"/>
          <w:szCs w:val="20"/>
          <w:lang w:eastAsia="zh-CN"/>
        </w:rPr>
      </w:pPr>
      <w:r>
        <w:rPr>
          <w:noProof/>
          <w:lang w:eastAsia="en-GB"/>
        </w:rPr>
        <w:drawing>
          <wp:inline distT="0" distB="0" distL="0" distR="0" wp14:anchorId="00BAA768" wp14:editId="19EE2200">
            <wp:extent cx="5376672" cy="1938528"/>
            <wp:effectExtent l="0" t="0" r="14605" b="5080"/>
            <wp:docPr id="1" name="Chart 1">
              <a:extLst xmlns:a="http://schemas.openxmlformats.org/drawingml/2006/main">
                <a:ext uri="{FF2B5EF4-FFF2-40B4-BE49-F238E27FC236}">
                  <a16:creationId xmlns:a16="http://schemas.microsoft.com/office/drawing/2014/main" id="{8EEB87FD-7616-423A-BAF2-597F94697E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6B183A8" w14:textId="673F1A7C" w:rsidR="00A75808" w:rsidRDefault="00A75808" w:rsidP="00A75808">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Figure 1: CRC overhead for CB CRC versus CBG CRC.</w:t>
      </w:r>
    </w:p>
    <w:bookmarkEnd w:id="2"/>
    <w:bookmarkEnd w:id="3"/>
    <w:p w14:paraId="6D49EC69" w14:textId="7AE7EA79" w:rsidR="00C11369" w:rsidRPr="00A75808" w:rsidRDefault="00A75808" w:rsidP="00C11369">
      <w:pPr>
        <w:pStyle w:val="00BodyText"/>
        <w:jc w:val="both"/>
        <w:rPr>
          <w:rFonts w:ascii="Times New Roman" w:hAnsi="Times New Roman" w:cs="Times New Roman"/>
          <w:b/>
          <w:sz w:val="20"/>
          <w:u w:val="single"/>
        </w:rPr>
      </w:pPr>
      <w:r w:rsidRPr="00A75808">
        <w:rPr>
          <w:rFonts w:ascii="Times New Roman" w:hAnsi="Times New Roman" w:cs="Times New Roman"/>
          <w:b/>
          <w:sz w:val="20"/>
          <w:u w:val="single"/>
        </w:rPr>
        <w:lastRenderedPageBreak/>
        <w:t xml:space="preserve">Benefits </w:t>
      </w:r>
      <w:r w:rsidR="00F55312">
        <w:rPr>
          <w:rFonts w:ascii="Times New Roman" w:hAnsi="Times New Roman" w:cs="Times New Roman"/>
          <w:b/>
          <w:sz w:val="20"/>
          <w:u w:val="single"/>
        </w:rPr>
        <w:t>of CB-</w:t>
      </w:r>
      <w:r w:rsidRPr="00A75808">
        <w:rPr>
          <w:rFonts w:ascii="Times New Roman" w:hAnsi="Times New Roman" w:cs="Times New Roman"/>
          <w:b/>
          <w:sz w:val="20"/>
          <w:u w:val="single"/>
        </w:rPr>
        <w:t>group CRC</w:t>
      </w:r>
    </w:p>
    <w:p w14:paraId="65AC9A87" w14:textId="6E318121" w:rsidR="00FA166B" w:rsidRPr="00995CB9" w:rsidRDefault="00CC29DB" w:rsidP="00CC29DB">
      <w:pPr>
        <w:pStyle w:val="00BodyText"/>
        <w:numPr>
          <w:ilvl w:val="0"/>
          <w:numId w:val="45"/>
        </w:numPr>
        <w:jc w:val="both"/>
        <w:rPr>
          <w:rFonts w:ascii="Times New Roman" w:hAnsi="Times New Roman" w:cs="Times New Roman"/>
          <w:sz w:val="20"/>
        </w:rPr>
      </w:pPr>
      <w:r>
        <w:rPr>
          <w:rFonts w:ascii="Times New Roman" w:hAnsi="Times New Roman" w:cs="Times New Roman"/>
          <w:sz w:val="20"/>
        </w:rPr>
        <w:t>Having multiple levels of error detection (three-</w:t>
      </w:r>
      <w:r w:rsidRPr="00995CB9">
        <w:rPr>
          <w:rFonts w:ascii="Times New Roman" w:hAnsi="Times New Roman" w:cs="Times New Roman"/>
          <w:sz w:val="20"/>
        </w:rPr>
        <w:t>tier of error detection</w:t>
      </w:r>
      <w:r>
        <w:rPr>
          <w:rFonts w:ascii="Times New Roman" w:hAnsi="Times New Roman" w:cs="Times New Roman"/>
          <w:sz w:val="20"/>
        </w:rPr>
        <w:t>) provides more flexibility when providing the same level of reliability as in LTE with much lower CRC overhead</w:t>
      </w:r>
      <w:r w:rsidR="00FA166B" w:rsidRPr="00995CB9">
        <w:rPr>
          <w:rFonts w:ascii="Times New Roman" w:hAnsi="Times New Roman" w:cs="Times New Roman"/>
          <w:sz w:val="20"/>
        </w:rPr>
        <w:t xml:space="preserve">. </w:t>
      </w:r>
      <w:r w:rsidR="00EE6C6D" w:rsidRPr="00995CB9">
        <w:rPr>
          <w:rFonts w:ascii="Times New Roman" w:hAnsi="Times New Roman" w:cs="Times New Roman"/>
          <w:sz w:val="20"/>
        </w:rPr>
        <w:t>LDPC code blocks have inbuilt error detection feature that can be used at the CB level error detection and stop criteria. The second level of error detection happens at CB group (CBG) level</w:t>
      </w:r>
      <w:r w:rsidR="00EE6C6D">
        <w:rPr>
          <w:rFonts w:ascii="Times New Roman" w:hAnsi="Times New Roman" w:cs="Times New Roman"/>
          <w:sz w:val="20"/>
        </w:rPr>
        <w:t xml:space="preserve">. </w:t>
      </w:r>
      <w:r w:rsidR="00EE6C6D" w:rsidRPr="00995CB9">
        <w:rPr>
          <w:rFonts w:ascii="Times New Roman" w:hAnsi="Times New Roman" w:cs="Times New Roman"/>
          <w:sz w:val="20"/>
        </w:rPr>
        <w:t xml:space="preserve">TB level CRC bits facilitate the last level of error detection. </w:t>
      </w:r>
      <w:r w:rsidR="00FA166B" w:rsidRPr="00995CB9">
        <w:rPr>
          <w:rFonts w:ascii="Times New Roman" w:hAnsi="Times New Roman" w:cs="Times New Roman"/>
          <w:sz w:val="20"/>
        </w:rPr>
        <w:t xml:space="preserve">This increases the overall reliability of error detection with less overhead bits. </w:t>
      </w:r>
    </w:p>
    <w:p w14:paraId="29B11A37" w14:textId="2DF8002A" w:rsidR="00FA166B" w:rsidRPr="00995CB9" w:rsidRDefault="00F55312" w:rsidP="00FA166B">
      <w:pPr>
        <w:pStyle w:val="00BodyText"/>
        <w:numPr>
          <w:ilvl w:val="0"/>
          <w:numId w:val="45"/>
        </w:numPr>
        <w:spacing w:line="240" w:lineRule="auto"/>
        <w:jc w:val="both"/>
        <w:rPr>
          <w:rFonts w:ascii="Times New Roman" w:hAnsi="Times New Roman" w:cs="Times New Roman"/>
          <w:sz w:val="20"/>
        </w:rPr>
      </w:pPr>
      <w:r>
        <w:rPr>
          <w:rFonts w:ascii="Times New Roman" w:hAnsi="Times New Roman" w:cs="Times New Roman"/>
          <w:sz w:val="20"/>
        </w:rPr>
        <w:t xml:space="preserve">When we have multi-bit HARQ feedback, having CBG is the </w:t>
      </w:r>
      <w:r w:rsidR="00A55389">
        <w:rPr>
          <w:rFonts w:ascii="Times New Roman" w:hAnsi="Times New Roman" w:cs="Times New Roman"/>
          <w:sz w:val="20"/>
        </w:rPr>
        <w:t>most efficient</w:t>
      </w:r>
      <w:r>
        <w:rPr>
          <w:rFonts w:ascii="Times New Roman" w:hAnsi="Times New Roman" w:cs="Times New Roman"/>
          <w:sz w:val="20"/>
        </w:rPr>
        <w:t xml:space="preserve"> method to utilize </w:t>
      </w:r>
      <w:r w:rsidR="00A55389">
        <w:rPr>
          <w:rFonts w:ascii="Times New Roman" w:hAnsi="Times New Roman" w:cs="Times New Roman"/>
          <w:sz w:val="20"/>
        </w:rPr>
        <w:t>these multiple</w:t>
      </w:r>
      <w:r>
        <w:rPr>
          <w:rFonts w:ascii="Times New Roman" w:hAnsi="Times New Roman" w:cs="Times New Roman"/>
          <w:sz w:val="20"/>
        </w:rPr>
        <w:t xml:space="preserve"> HARQ</w:t>
      </w:r>
      <w:r w:rsidR="00A55389">
        <w:rPr>
          <w:rFonts w:ascii="Times New Roman" w:hAnsi="Times New Roman" w:cs="Times New Roman"/>
          <w:sz w:val="20"/>
        </w:rPr>
        <w:t xml:space="preserve"> bits to provide better performance</w:t>
      </w:r>
      <w:r>
        <w:rPr>
          <w:rFonts w:ascii="Times New Roman" w:hAnsi="Times New Roman" w:cs="Times New Roman"/>
          <w:sz w:val="20"/>
        </w:rPr>
        <w:t xml:space="preserve">. This increases the overall throughput as retransmission overhead reduces significantly. </w:t>
      </w:r>
      <w:r w:rsidR="00EE6C6D">
        <w:rPr>
          <w:rFonts w:ascii="Times New Roman" w:hAnsi="Times New Roman" w:cs="Times New Roman"/>
          <w:sz w:val="20"/>
        </w:rPr>
        <w:t xml:space="preserve">Some may question </w:t>
      </w:r>
      <w:r w:rsidR="00A55389">
        <w:rPr>
          <w:rFonts w:ascii="Times New Roman" w:hAnsi="Times New Roman" w:cs="Times New Roman"/>
          <w:sz w:val="20"/>
        </w:rPr>
        <w:t>the feasibility of</w:t>
      </w:r>
      <w:r w:rsidR="00EE6C6D">
        <w:rPr>
          <w:rFonts w:ascii="Times New Roman" w:hAnsi="Times New Roman" w:cs="Times New Roman"/>
          <w:sz w:val="20"/>
        </w:rPr>
        <w:t xml:space="preserve"> having multiple bits for feedback. </w:t>
      </w:r>
      <w:r w:rsidR="00A55389">
        <w:rPr>
          <w:rFonts w:ascii="Times New Roman" w:hAnsi="Times New Roman" w:cs="Times New Roman"/>
          <w:sz w:val="20"/>
        </w:rPr>
        <w:t xml:space="preserve">It is mainly related to the cases we support larger TBS. </w:t>
      </w:r>
      <w:r w:rsidR="00EE6C6D">
        <w:rPr>
          <w:rFonts w:ascii="Times New Roman" w:hAnsi="Times New Roman" w:cs="Times New Roman"/>
          <w:sz w:val="20"/>
        </w:rPr>
        <w:t xml:space="preserve">When </w:t>
      </w:r>
      <w:r w:rsidR="00A55389">
        <w:rPr>
          <w:rFonts w:ascii="Times New Roman" w:hAnsi="Times New Roman" w:cs="Times New Roman"/>
          <w:sz w:val="20"/>
        </w:rPr>
        <w:t>supporting</w:t>
      </w:r>
      <w:r w:rsidR="00EE6C6D">
        <w:rPr>
          <w:rFonts w:ascii="Times New Roman" w:hAnsi="Times New Roman" w:cs="Times New Roman"/>
          <w:sz w:val="20"/>
        </w:rPr>
        <w:t xml:space="preserve"> Mbps or Gbps throughputs, we </w:t>
      </w:r>
      <w:r w:rsidR="00A55389">
        <w:rPr>
          <w:rFonts w:ascii="Times New Roman" w:hAnsi="Times New Roman" w:cs="Times New Roman"/>
          <w:sz w:val="20"/>
        </w:rPr>
        <w:t xml:space="preserve">may </w:t>
      </w:r>
      <w:r w:rsidR="00EE6C6D">
        <w:rPr>
          <w:rFonts w:ascii="Times New Roman" w:hAnsi="Times New Roman" w:cs="Times New Roman"/>
          <w:sz w:val="20"/>
        </w:rPr>
        <w:t xml:space="preserve">end-up having very larger transport block sizes. Within </w:t>
      </w:r>
      <w:r w:rsidR="00A55389">
        <w:rPr>
          <w:rFonts w:ascii="Times New Roman" w:hAnsi="Times New Roman" w:cs="Times New Roman"/>
          <w:sz w:val="20"/>
        </w:rPr>
        <w:t>such large</w:t>
      </w:r>
      <w:r w:rsidR="00EE6C6D">
        <w:rPr>
          <w:rFonts w:ascii="Times New Roman" w:hAnsi="Times New Roman" w:cs="Times New Roman"/>
          <w:sz w:val="20"/>
        </w:rPr>
        <w:t xml:space="preserve"> TB, there can be tens-to-hundreds of CBs and retransmission overhead can increase significantly. As bandwidth allocation for such a TB also large, we have much higher feedback capability than in LTE. Therefore, having multi-bit HARQ feedback is not a significant issue compared to gains </w:t>
      </w:r>
      <w:r w:rsidR="00A55389">
        <w:rPr>
          <w:rFonts w:ascii="Times New Roman" w:hAnsi="Times New Roman" w:cs="Times New Roman"/>
          <w:sz w:val="20"/>
        </w:rPr>
        <w:t xml:space="preserve">that </w:t>
      </w:r>
      <w:r w:rsidR="00EE6C6D">
        <w:rPr>
          <w:rFonts w:ascii="Times New Roman" w:hAnsi="Times New Roman" w:cs="Times New Roman"/>
          <w:sz w:val="20"/>
        </w:rPr>
        <w:t xml:space="preserve">we </w:t>
      </w:r>
      <w:r w:rsidR="00A55389">
        <w:rPr>
          <w:rFonts w:ascii="Times New Roman" w:hAnsi="Times New Roman" w:cs="Times New Roman"/>
          <w:sz w:val="20"/>
        </w:rPr>
        <w:t>attain</w:t>
      </w:r>
      <w:r w:rsidR="00EE6C6D">
        <w:rPr>
          <w:rFonts w:ascii="Times New Roman" w:hAnsi="Times New Roman" w:cs="Times New Roman"/>
          <w:sz w:val="20"/>
        </w:rPr>
        <w:t xml:space="preserve">. </w:t>
      </w:r>
    </w:p>
    <w:p w14:paraId="022C0839" w14:textId="77777777" w:rsidR="00EE6C6D" w:rsidRDefault="00FA166B" w:rsidP="00EE6C6D">
      <w:pPr>
        <w:pStyle w:val="00BodyText"/>
        <w:numPr>
          <w:ilvl w:val="0"/>
          <w:numId w:val="45"/>
        </w:numPr>
        <w:jc w:val="both"/>
        <w:rPr>
          <w:rFonts w:ascii="Times New Roman" w:hAnsi="Times New Roman" w:cs="Times New Roman"/>
          <w:sz w:val="20"/>
        </w:rPr>
      </w:pPr>
      <w:r w:rsidRPr="004D47EC">
        <w:rPr>
          <w:rFonts w:ascii="Times New Roman" w:hAnsi="Times New Roman" w:cs="Times New Roman"/>
          <w:sz w:val="20"/>
        </w:rPr>
        <w:t xml:space="preserve">LTE like CRC attachment may not be suitable when parallelized processing </w:t>
      </w:r>
      <w:r>
        <w:rPr>
          <w:rFonts w:ascii="Times New Roman" w:hAnsi="Times New Roman" w:cs="Times New Roman"/>
          <w:sz w:val="20"/>
        </w:rPr>
        <w:t xml:space="preserve">is used </w:t>
      </w:r>
      <w:r w:rsidRPr="004D47EC">
        <w:rPr>
          <w:rFonts w:ascii="Times New Roman" w:hAnsi="Times New Roman" w:cs="Times New Roman"/>
          <w:sz w:val="20"/>
        </w:rPr>
        <w:t>for decode the CBs</w:t>
      </w:r>
      <w:r w:rsidRPr="00C11369">
        <w:rPr>
          <w:rFonts w:ascii="Times New Roman" w:hAnsi="Times New Roman" w:cs="Times New Roman"/>
          <w:sz w:val="20"/>
        </w:rPr>
        <w:t>.</w:t>
      </w:r>
      <w:r>
        <w:rPr>
          <w:rFonts w:ascii="Times New Roman" w:hAnsi="Times New Roman" w:cs="Times New Roman"/>
          <w:sz w:val="20"/>
        </w:rPr>
        <w:t xml:space="preserve"> </w:t>
      </w:r>
      <w:r w:rsidR="00C11369" w:rsidRPr="00FA166B">
        <w:rPr>
          <w:rFonts w:ascii="Times New Roman" w:hAnsi="Times New Roman" w:cs="Times New Roman"/>
          <w:sz w:val="20"/>
        </w:rPr>
        <w:t>In eMBB high throughput implementation, we may use pipelined processing to limit memory overhead</w:t>
      </w:r>
      <w:r w:rsidR="004D47EC" w:rsidRPr="00FA166B">
        <w:rPr>
          <w:rFonts w:ascii="Times New Roman" w:hAnsi="Times New Roman" w:cs="Times New Roman"/>
          <w:sz w:val="20"/>
        </w:rPr>
        <w:t>, reduce</w:t>
      </w:r>
      <w:r w:rsidR="00C11369" w:rsidRPr="00FA166B">
        <w:rPr>
          <w:rFonts w:ascii="Times New Roman" w:hAnsi="Times New Roman" w:cs="Times New Roman"/>
          <w:sz w:val="20"/>
        </w:rPr>
        <w:t xml:space="preserve"> the latency of the decoding, and provide fast ACK/NACK feedback. In such cases, early termination of CBs which are parallelized may not possible even one CB found with errors. Therefore, having CRC per each </w:t>
      </w:r>
      <w:r w:rsidR="00A56F72" w:rsidRPr="00FA166B">
        <w:rPr>
          <w:rFonts w:ascii="Times New Roman" w:hAnsi="Times New Roman" w:cs="Times New Roman"/>
          <w:sz w:val="20"/>
        </w:rPr>
        <w:t>CB</w:t>
      </w:r>
      <w:r w:rsidR="00C11369" w:rsidRPr="00FA166B">
        <w:rPr>
          <w:rFonts w:ascii="Times New Roman" w:hAnsi="Times New Roman" w:cs="Times New Roman"/>
          <w:sz w:val="20"/>
        </w:rPr>
        <w:t xml:space="preserve"> may create additional overhead and may not be useful in many cases. </w:t>
      </w:r>
    </w:p>
    <w:p w14:paraId="145574CF" w14:textId="77777777" w:rsidR="00A55389" w:rsidRPr="00A55389" w:rsidRDefault="00A55389" w:rsidP="00A55389">
      <w:pPr>
        <w:pStyle w:val="00BodyText"/>
        <w:numPr>
          <w:ilvl w:val="0"/>
          <w:numId w:val="45"/>
        </w:numPr>
        <w:spacing w:after="0"/>
        <w:jc w:val="both"/>
        <w:rPr>
          <w:rFonts w:cs="Arial"/>
          <w:sz w:val="20"/>
        </w:rPr>
      </w:pPr>
      <w:r w:rsidRPr="00A55389">
        <w:rPr>
          <w:rFonts w:ascii="Times New Roman" w:hAnsi="Times New Roman" w:cs="Times New Roman"/>
          <w:sz w:val="20"/>
        </w:rPr>
        <w:t>CBG CRC can improve early termination even for serial processing. In particular, CB level early termination can be supported only with the inherent error detection feature (parity check) [3]. This is important to reduce the number of iteration than fixing the number of iterations at the decoder. Early termination is helpful not only to increase the throughput but also to reduce energy consumption at the decoder. However, early termination should guarantee a good level of reliability and CBG CRC attachment provides an extra level of reliability prior to the TB level CRC check. Early termination related study was carried out in [4] for LTE turbo codes, where a similar study is applicable for LDPC to determine the exact CRC bits.</w:t>
      </w:r>
    </w:p>
    <w:p w14:paraId="608409F4" w14:textId="77777777" w:rsidR="0040337B" w:rsidRPr="00C25961" w:rsidRDefault="0040337B" w:rsidP="0040337B">
      <w:pPr>
        <w:pStyle w:val="00BodyText"/>
        <w:spacing w:after="0"/>
        <w:rPr>
          <w:rFonts w:cs="Arial"/>
          <w:sz w:val="20"/>
        </w:rPr>
      </w:pPr>
    </w:p>
    <w:p w14:paraId="447EBAF2" w14:textId="22561D16" w:rsidR="0040337B" w:rsidRPr="00C25961" w:rsidRDefault="00FA166B" w:rsidP="0040337B">
      <w:pPr>
        <w:pStyle w:val="00BodyText"/>
        <w:spacing w:after="0"/>
        <w:rPr>
          <w:rFonts w:cs="Arial"/>
          <w:b/>
          <w:u w:val="single"/>
        </w:rPr>
      </w:pPr>
      <w:r w:rsidRPr="00C25961">
        <w:rPr>
          <w:rFonts w:cs="Arial"/>
        </w:rPr>
        <w:object w:dxaOrig="11687" w:dyaOrig="3855" w14:anchorId="41C42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156.35pt" o:ole="">
            <v:imagedata r:id="rId13" o:title=""/>
          </v:shape>
          <o:OLEObject Type="Embed" ProgID="Visio.Drawing.11" ShapeID="_x0000_i1025" DrawAspect="Content" ObjectID="_1547918605" r:id="rId14"/>
        </w:object>
      </w:r>
    </w:p>
    <w:p w14:paraId="4CD69F91" w14:textId="77777777" w:rsidR="0040337B" w:rsidRPr="00995CB9" w:rsidRDefault="0040337B" w:rsidP="0040337B">
      <w:pPr>
        <w:jc w:val="center"/>
        <w:rPr>
          <w:rFonts w:ascii="Times New Roman" w:hAnsi="Times New Roman" w:cs="Times New Roman"/>
        </w:rPr>
      </w:pPr>
    </w:p>
    <w:p w14:paraId="60B46CB8" w14:textId="060B4F15" w:rsidR="0040337B" w:rsidRPr="00995CB9" w:rsidRDefault="0040337B" w:rsidP="0040337B">
      <w:pPr>
        <w:pStyle w:val="00BodyText"/>
        <w:spacing w:beforeLines="50" w:before="120" w:afterLines="50" w:after="120"/>
        <w:jc w:val="center"/>
        <w:rPr>
          <w:rFonts w:ascii="Times New Roman" w:hAnsi="Times New Roman" w:cs="Times New Roman"/>
          <w:sz w:val="20"/>
        </w:rPr>
      </w:pPr>
      <w:r w:rsidRPr="00995CB9">
        <w:rPr>
          <w:rFonts w:ascii="Times New Roman" w:hAnsi="Times New Roman" w:cs="Times New Roman"/>
          <w:sz w:val="20"/>
        </w:rPr>
        <w:t xml:space="preserve">Figure </w:t>
      </w:r>
      <w:r w:rsidR="00FA166B">
        <w:rPr>
          <w:rFonts w:ascii="Times New Roman" w:hAnsi="Times New Roman" w:cs="Times New Roman"/>
          <w:sz w:val="20"/>
        </w:rPr>
        <w:t xml:space="preserve">2: </w:t>
      </w:r>
      <w:r w:rsidRPr="00995CB9">
        <w:rPr>
          <w:rFonts w:ascii="Times New Roman" w:hAnsi="Times New Roman" w:cs="Times New Roman"/>
          <w:sz w:val="20"/>
        </w:rPr>
        <w:t xml:space="preserve"> CRC attachment for eMBB </w:t>
      </w:r>
      <w:r w:rsidR="004D47EC">
        <w:rPr>
          <w:rFonts w:ascii="Times New Roman" w:hAnsi="Times New Roman" w:cs="Times New Roman"/>
          <w:sz w:val="20"/>
        </w:rPr>
        <w:t>larger transport block sizes</w:t>
      </w:r>
      <w:r w:rsidRPr="00995CB9">
        <w:rPr>
          <w:rFonts w:ascii="Times New Roman" w:hAnsi="Times New Roman" w:cs="Times New Roman"/>
          <w:sz w:val="20"/>
        </w:rPr>
        <w:t xml:space="preserve"> </w:t>
      </w:r>
    </w:p>
    <w:p w14:paraId="04BBB008" w14:textId="77777777" w:rsidR="0040337B" w:rsidRPr="00995CB9" w:rsidRDefault="0040337B" w:rsidP="0040337B">
      <w:pPr>
        <w:pStyle w:val="00BodyText"/>
        <w:spacing w:after="0"/>
        <w:rPr>
          <w:rFonts w:ascii="Times New Roman" w:hAnsi="Times New Roman" w:cs="Times New Roman"/>
          <w:sz w:val="20"/>
        </w:rPr>
      </w:pPr>
    </w:p>
    <w:p w14:paraId="101C6787" w14:textId="282E0378" w:rsidR="00EE6C6D" w:rsidRPr="00B91A6E" w:rsidRDefault="00EE6C6D" w:rsidP="00EE6C6D">
      <w:pPr>
        <w:pStyle w:val="00BodyText"/>
        <w:jc w:val="both"/>
        <w:rPr>
          <w:rFonts w:ascii="Times New Roman" w:hAnsi="Times New Roman" w:cs="Times New Roman"/>
          <w:b/>
          <w:sz w:val="20"/>
          <w:szCs w:val="20"/>
          <w:u w:val="single"/>
        </w:rPr>
      </w:pPr>
      <w:r w:rsidRPr="00B91A6E">
        <w:rPr>
          <w:rFonts w:ascii="Times New Roman" w:hAnsi="Times New Roman" w:cs="Times New Roman"/>
          <w:b/>
          <w:sz w:val="20"/>
          <w:szCs w:val="20"/>
          <w:u w:val="single"/>
        </w:rPr>
        <w:t xml:space="preserve">Method of determining CRC </w:t>
      </w:r>
      <w:r w:rsidR="00023AF5">
        <w:rPr>
          <w:rFonts w:ascii="Times New Roman" w:hAnsi="Times New Roman" w:cs="Times New Roman"/>
          <w:b/>
          <w:sz w:val="20"/>
          <w:szCs w:val="20"/>
          <w:u w:val="single"/>
        </w:rPr>
        <w:t xml:space="preserve">attachment </w:t>
      </w:r>
      <w:r w:rsidRPr="00B91A6E">
        <w:rPr>
          <w:rFonts w:ascii="Times New Roman" w:hAnsi="Times New Roman" w:cs="Times New Roman"/>
          <w:b/>
          <w:sz w:val="20"/>
          <w:szCs w:val="20"/>
          <w:u w:val="single"/>
        </w:rPr>
        <w:t xml:space="preserve">for </w:t>
      </w:r>
      <w:r w:rsidR="00013030">
        <w:rPr>
          <w:rFonts w:ascii="Times New Roman" w:hAnsi="Times New Roman" w:cs="Times New Roman"/>
          <w:b/>
          <w:sz w:val="20"/>
          <w:szCs w:val="20"/>
          <w:u w:val="single"/>
        </w:rPr>
        <w:t>eMBB data channel</w:t>
      </w:r>
    </w:p>
    <w:p w14:paraId="01FFF5B6" w14:textId="4276BF32" w:rsidR="00BA2598" w:rsidRPr="00B91A6E" w:rsidRDefault="00BA2598" w:rsidP="0040337B">
      <w:pPr>
        <w:pStyle w:val="00BodyText"/>
        <w:spacing w:after="0"/>
        <w:jc w:val="both"/>
        <w:rPr>
          <w:rFonts w:ascii="Times New Roman" w:hAnsi="Times New Roman" w:cs="Times New Roman"/>
          <w:sz w:val="20"/>
          <w:szCs w:val="20"/>
        </w:rPr>
      </w:pPr>
      <w:r w:rsidRPr="00B91A6E">
        <w:rPr>
          <w:rFonts w:ascii="Times New Roman" w:hAnsi="Times New Roman" w:cs="Times New Roman"/>
          <w:sz w:val="20"/>
          <w:szCs w:val="20"/>
        </w:rPr>
        <w:t>In order to determine the exact CRC bits</w:t>
      </w:r>
      <w:r w:rsidR="00A55389">
        <w:rPr>
          <w:rFonts w:ascii="Times New Roman" w:hAnsi="Times New Roman" w:cs="Times New Roman"/>
          <w:sz w:val="20"/>
          <w:szCs w:val="20"/>
        </w:rPr>
        <w:t xml:space="preserve"> that</w:t>
      </w:r>
      <w:r w:rsidRPr="00B91A6E">
        <w:rPr>
          <w:rFonts w:ascii="Times New Roman" w:hAnsi="Times New Roman" w:cs="Times New Roman"/>
          <w:sz w:val="20"/>
          <w:szCs w:val="20"/>
        </w:rPr>
        <w:t xml:space="preserve"> required for TB and CBG level, we </w:t>
      </w:r>
      <w:r w:rsidR="00A55389">
        <w:rPr>
          <w:rFonts w:ascii="Times New Roman" w:hAnsi="Times New Roman" w:cs="Times New Roman"/>
          <w:sz w:val="20"/>
          <w:szCs w:val="20"/>
        </w:rPr>
        <w:t>may have to follow simple</w:t>
      </w:r>
      <w:r w:rsidR="00FF415D" w:rsidRPr="00B91A6E">
        <w:rPr>
          <w:rFonts w:ascii="Times New Roman" w:hAnsi="Times New Roman" w:cs="Times New Roman"/>
          <w:sz w:val="20"/>
          <w:szCs w:val="20"/>
        </w:rPr>
        <w:t xml:space="preserve"> simulation set-up as follows. </w:t>
      </w:r>
      <w:r w:rsidR="00B91A6E">
        <w:rPr>
          <w:rFonts w:ascii="Times New Roman" w:hAnsi="Times New Roman" w:cs="Times New Roman"/>
          <w:sz w:val="20"/>
          <w:szCs w:val="20"/>
        </w:rPr>
        <w:t>The different parameters should be evaluated to determine the best approach between CB level or CBG level CRC attachments</w:t>
      </w:r>
      <w:r w:rsidR="005407C6">
        <w:rPr>
          <w:rFonts w:ascii="Times New Roman" w:hAnsi="Times New Roman" w:cs="Times New Roman"/>
          <w:sz w:val="20"/>
          <w:szCs w:val="20"/>
        </w:rPr>
        <w:t xml:space="preserve">. Later, further evaluation may be required to determine the exact CRC bits per CBG </w:t>
      </w:r>
      <w:r w:rsidR="00A55389">
        <w:rPr>
          <w:rFonts w:ascii="Times New Roman" w:hAnsi="Times New Roman" w:cs="Times New Roman"/>
          <w:sz w:val="20"/>
          <w:szCs w:val="20"/>
        </w:rPr>
        <w:t>(</w:t>
      </w:r>
      <w:r w:rsidR="005407C6">
        <w:rPr>
          <w:rFonts w:ascii="Times New Roman" w:hAnsi="Times New Roman" w:cs="Times New Roman"/>
          <w:sz w:val="20"/>
          <w:szCs w:val="20"/>
        </w:rPr>
        <w:t>if depends on the size of CBG</w:t>
      </w:r>
      <w:r w:rsidR="00A55389">
        <w:rPr>
          <w:rFonts w:ascii="Times New Roman" w:hAnsi="Times New Roman" w:cs="Times New Roman"/>
          <w:sz w:val="20"/>
          <w:szCs w:val="20"/>
        </w:rPr>
        <w:t>)</w:t>
      </w:r>
      <w:r w:rsidR="005407C6">
        <w:rPr>
          <w:rFonts w:ascii="Times New Roman" w:hAnsi="Times New Roman" w:cs="Times New Roman"/>
          <w:sz w:val="20"/>
          <w:szCs w:val="20"/>
        </w:rPr>
        <w:t xml:space="preserve">. </w:t>
      </w:r>
    </w:p>
    <w:p w14:paraId="0C8863C4" w14:textId="77777777" w:rsidR="00EE6C6D" w:rsidRPr="00B91A6E" w:rsidRDefault="00EE6C6D" w:rsidP="0040337B">
      <w:pPr>
        <w:pStyle w:val="00BodyText"/>
        <w:spacing w:after="0"/>
        <w:jc w:val="both"/>
        <w:rPr>
          <w:rFonts w:ascii="Times New Roman" w:hAnsi="Times New Roman" w:cs="Times New Roman"/>
          <w:b/>
          <w:sz w:val="20"/>
          <w:szCs w:val="20"/>
        </w:rPr>
      </w:pPr>
    </w:p>
    <w:p w14:paraId="4939C61C" w14:textId="3415F5AE" w:rsidR="00FF415D" w:rsidRDefault="00FF415D" w:rsidP="0040337B">
      <w:pPr>
        <w:pStyle w:val="00BodyText"/>
        <w:spacing w:after="0"/>
        <w:jc w:val="both"/>
        <w:rPr>
          <w:rFonts w:ascii="Times New Roman" w:hAnsi="Times New Roman" w:cs="Times New Roman"/>
          <w:b/>
          <w:sz w:val="20"/>
          <w:szCs w:val="20"/>
        </w:rPr>
      </w:pPr>
    </w:p>
    <w:p w14:paraId="497EE090" w14:textId="2379D1AD" w:rsidR="00B91A6E" w:rsidRDefault="00B91A6E" w:rsidP="0040337B">
      <w:pPr>
        <w:pStyle w:val="00BodyText"/>
        <w:spacing w:after="0"/>
        <w:jc w:val="both"/>
        <w:rPr>
          <w:rFonts w:ascii="Times New Roman" w:hAnsi="Times New Roman" w:cs="Times New Roman"/>
          <w:b/>
          <w:sz w:val="20"/>
          <w:szCs w:val="20"/>
        </w:rPr>
      </w:pPr>
    </w:p>
    <w:p w14:paraId="136D99C4" w14:textId="6EB0A55B" w:rsidR="00B91A6E" w:rsidRDefault="00B91A6E" w:rsidP="0040337B">
      <w:pPr>
        <w:pStyle w:val="00BodyText"/>
        <w:spacing w:after="0"/>
        <w:jc w:val="both"/>
        <w:rPr>
          <w:rFonts w:ascii="Times New Roman" w:hAnsi="Times New Roman" w:cs="Times New Roman"/>
          <w:b/>
          <w:sz w:val="20"/>
          <w:szCs w:val="20"/>
        </w:rPr>
      </w:pPr>
    </w:p>
    <w:p w14:paraId="09C473E5" w14:textId="77777777" w:rsidR="00B91A6E" w:rsidRPr="00B91A6E" w:rsidRDefault="00B91A6E" w:rsidP="0040337B">
      <w:pPr>
        <w:pStyle w:val="00BodyText"/>
        <w:spacing w:after="0"/>
        <w:jc w:val="both"/>
        <w:rPr>
          <w:rFonts w:ascii="Times New Roman" w:hAnsi="Times New Roman" w:cs="Times New Roman"/>
          <w:b/>
          <w:sz w:val="20"/>
          <w:szCs w:val="20"/>
        </w:rPr>
      </w:pPr>
    </w:p>
    <w:p w14:paraId="67FEC545" w14:textId="6569CF0D" w:rsidR="00B118B5" w:rsidRDefault="00B118B5" w:rsidP="00B118B5">
      <w:pPr>
        <w:spacing w:after="0" w:line="240" w:lineRule="auto"/>
        <w:jc w:val="both"/>
        <w:rPr>
          <w:rFonts w:ascii="Times New Roman" w:hAnsi="Times New Roman" w:cs="Times New Roman"/>
          <w:color w:val="FF0000"/>
          <w:sz w:val="20"/>
          <w:szCs w:val="20"/>
          <w:lang w:eastAsia="zh-CN"/>
        </w:rPr>
      </w:pPr>
    </w:p>
    <w:p w14:paraId="27390DA6" w14:textId="12F14632" w:rsidR="00023AF5" w:rsidRDefault="00023AF5" w:rsidP="00023AF5">
      <w:pPr>
        <w:spacing w:after="0" w:line="240" w:lineRule="auto"/>
        <w:jc w:val="center"/>
        <w:rPr>
          <w:rFonts w:ascii="Times New Roman" w:hAnsi="Times New Roman" w:cs="Times New Roman"/>
          <w:sz w:val="20"/>
          <w:szCs w:val="20"/>
          <w:lang w:eastAsia="zh-CN"/>
        </w:rPr>
      </w:pPr>
      <w:r w:rsidRPr="00023AF5">
        <w:rPr>
          <w:rFonts w:ascii="Times New Roman" w:hAnsi="Times New Roman" w:cs="Times New Roman"/>
          <w:sz w:val="20"/>
          <w:szCs w:val="20"/>
          <w:lang w:eastAsia="zh-CN"/>
        </w:rPr>
        <w:t>Table 1: Simulation parameters to evaluate CRC attachment</w:t>
      </w:r>
    </w:p>
    <w:p w14:paraId="4D1E9992" w14:textId="77777777" w:rsidR="00023AF5" w:rsidRPr="00023AF5" w:rsidRDefault="00023AF5" w:rsidP="00023AF5">
      <w:pPr>
        <w:spacing w:after="0" w:line="240" w:lineRule="auto"/>
        <w:jc w:val="center"/>
        <w:rPr>
          <w:rFonts w:ascii="Times New Roman" w:hAnsi="Times New Roman" w:cs="Times New Roman"/>
          <w:sz w:val="20"/>
          <w:szCs w:val="20"/>
          <w:lang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7"/>
        <w:gridCol w:w="3165"/>
        <w:gridCol w:w="3316"/>
      </w:tblGrid>
      <w:tr w:rsidR="00FF415D" w:rsidRPr="00B91A6E" w14:paraId="2B442BC0" w14:textId="77777777" w:rsidTr="00013030">
        <w:trPr>
          <w:trHeight w:val="390"/>
          <w:jc w:val="center"/>
        </w:trPr>
        <w:tc>
          <w:tcPr>
            <w:tcW w:w="2737" w:type="dxa"/>
            <w:tcBorders>
              <w:top w:val="single" w:sz="4" w:space="0" w:color="000000"/>
              <w:left w:val="single" w:sz="4" w:space="0" w:color="000000"/>
              <w:bottom w:val="single" w:sz="4" w:space="0" w:color="000000"/>
              <w:right w:val="single" w:sz="4" w:space="0" w:color="000000"/>
            </w:tcBorders>
            <w:hideMark/>
          </w:tcPr>
          <w:p w14:paraId="67CD669F" w14:textId="77777777" w:rsidR="00FF415D" w:rsidRPr="00B91A6E" w:rsidRDefault="00FF415D">
            <w:pPr>
              <w:jc w:val="both"/>
              <w:rPr>
                <w:rFonts w:ascii="Times New Roman" w:eastAsia="SimSun" w:hAnsi="Times New Roman" w:cs="Times New Roman"/>
                <w:bCs/>
                <w:sz w:val="20"/>
                <w:szCs w:val="20"/>
              </w:rPr>
            </w:pPr>
            <w:r w:rsidRPr="00B91A6E">
              <w:rPr>
                <w:rFonts w:ascii="Times New Roman" w:hAnsi="Times New Roman" w:cs="Times New Roman"/>
                <w:bCs/>
                <w:sz w:val="20"/>
                <w:szCs w:val="20"/>
                <w:lang w:eastAsia="zh-CN"/>
              </w:rPr>
              <w:t>Channel</w:t>
            </w:r>
          </w:p>
        </w:tc>
        <w:tc>
          <w:tcPr>
            <w:tcW w:w="6481" w:type="dxa"/>
            <w:gridSpan w:val="2"/>
            <w:tcBorders>
              <w:top w:val="single" w:sz="4" w:space="0" w:color="000000"/>
              <w:left w:val="single" w:sz="4" w:space="0" w:color="000000"/>
              <w:bottom w:val="single" w:sz="4" w:space="0" w:color="000000"/>
              <w:right w:val="single" w:sz="4" w:space="0" w:color="000000"/>
            </w:tcBorders>
            <w:hideMark/>
          </w:tcPr>
          <w:p w14:paraId="4DE6D347" w14:textId="77777777" w:rsidR="00FF415D" w:rsidRPr="00B91A6E" w:rsidRDefault="00FF415D">
            <w:pPr>
              <w:jc w:val="center"/>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AWGN</w:t>
            </w:r>
          </w:p>
        </w:tc>
      </w:tr>
      <w:tr w:rsidR="00FF415D" w:rsidRPr="00B91A6E" w14:paraId="10214A7C" w14:textId="77777777" w:rsidTr="00013030">
        <w:trPr>
          <w:trHeight w:val="402"/>
          <w:jc w:val="center"/>
        </w:trPr>
        <w:tc>
          <w:tcPr>
            <w:tcW w:w="2737" w:type="dxa"/>
            <w:tcBorders>
              <w:top w:val="single" w:sz="4" w:space="0" w:color="000000"/>
              <w:left w:val="single" w:sz="4" w:space="0" w:color="000000"/>
              <w:bottom w:val="single" w:sz="4" w:space="0" w:color="000000"/>
              <w:right w:val="single" w:sz="4" w:space="0" w:color="000000"/>
            </w:tcBorders>
            <w:hideMark/>
          </w:tcPr>
          <w:p w14:paraId="68A35102" w14:textId="77777777" w:rsidR="00FF415D" w:rsidRPr="00B91A6E" w:rsidRDefault="00FF415D">
            <w:pPr>
              <w:jc w:val="both"/>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 xml:space="preserve">Modulation </w:t>
            </w:r>
          </w:p>
        </w:tc>
        <w:tc>
          <w:tcPr>
            <w:tcW w:w="6481" w:type="dxa"/>
            <w:gridSpan w:val="2"/>
            <w:tcBorders>
              <w:top w:val="single" w:sz="4" w:space="0" w:color="000000"/>
              <w:left w:val="single" w:sz="4" w:space="0" w:color="000000"/>
              <w:bottom w:val="single" w:sz="4" w:space="0" w:color="000000"/>
              <w:right w:val="single" w:sz="4" w:space="0" w:color="000000"/>
            </w:tcBorders>
            <w:hideMark/>
          </w:tcPr>
          <w:p w14:paraId="5C67AB3E" w14:textId="2DE36CEC" w:rsidR="00FF415D" w:rsidRPr="00B91A6E" w:rsidRDefault="00FF415D">
            <w:pPr>
              <w:jc w:val="center"/>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16 QAM</w:t>
            </w:r>
          </w:p>
        </w:tc>
      </w:tr>
      <w:tr w:rsidR="00FF415D" w:rsidRPr="00B91A6E" w14:paraId="7566A4AD" w14:textId="77777777" w:rsidTr="00013030">
        <w:trPr>
          <w:trHeight w:val="625"/>
          <w:jc w:val="center"/>
        </w:trPr>
        <w:tc>
          <w:tcPr>
            <w:tcW w:w="2737" w:type="dxa"/>
            <w:tcBorders>
              <w:top w:val="single" w:sz="4" w:space="0" w:color="000000"/>
              <w:left w:val="single" w:sz="4" w:space="0" w:color="000000"/>
              <w:bottom w:val="single" w:sz="4" w:space="0" w:color="000000"/>
              <w:right w:val="single" w:sz="4" w:space="0" w:color="000000"/>
            </w:tcBorders>
            <w:hideMark/>
          </w:tcPr>
          <w:p w14:paraId="68332C2B" w14:textId="33CF21BC" w:rsidR="00FF415D" w:rsidRPr="00B91A6E" w:rsidRDefault="00FF415D">
            <w:pPr>
              <w:jc w:val="both"/>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 xml:space="preserve">CRC attachment for LDPC </w:t>
            </w:r>
          </w:p>
        </w:tc>
        <w:tc>
          <w:tcPr>
            <w:tcW w:w="3165" w:type="dxa"/>
            <w:tcBorders>
              <w:top w:val="single" w:sz="4" w:space="0" w:color="000000"/>
              <w:left w:val="single" w:sz="4" w:space="0" w:color="000000"/>
              <w:bottom w:val="single" w:sz="4" w:space="0" w:color="000000"/>
            </w:tcBorders>
            <w:hideMark/>
          </w:tcPr>
          <w:p w14:paraId="32F4C94F" w14:textId="3479AC78" w:rsidR="00FF415D" w:rsidRPr="00B91A6E" w:rsidRDefault="00B91A6E" w:rsidP="00FF415D">
            <w:pPr>
              <w:jc w:val="center"/>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 xml:space="preserve">L1 bit </w:t>
            </w:r>
            <w:r w:rsidR="00FF415D" w:rsidRPr="00B91A6E">
              <w:rPr>
                <w:rFonts w:ascii="Times New Roman" w:hAnsi="Times New Roman" w:cs="Times New Roman"/>
                <w:bCs/>
                <w:sz w:val="20"/>
                <w:szCs w:val="20"/>
                <w:lang w:eastAsia="zh-CN"/>
              </w:rPr>
              <w:t xml:space="preserve">CRC per CB + </w:t>
            </w:r>
            <w:r w:rsidRPr="00B91A6E">
              <w:rPr>
                <w:rFonts w:ascii="Times New Roman" w:hAnsi="Times New Roman" w:cs="Times New Roman"/>
                <w:bCs/>
                <w:sz w:val="20"/>
                <w:szCs w:val="20"/>
                <w:lang w:eastAsia="zh-CN"/>
              </w:rPr>
              <w:t>L3 bit CRC per TB</w:t>
            </w:r>
          </w:p>
        </w:tc>
        <w:tc>
          <w:tcPr>
            <w:tcW w:w="3315" w:type="dxa"/>
            <w:tcBorders>
              <w:top w:val="single" w:sz="4" w:space="0" w:color="000000"/>
              <w:left w:val="single" w:sz="4" w:space="0" w:color="000000"/>
              <w:bottom w:val="single" w:sz="4" w:space="0" w:color="000000"/>
            </w:tcBorders>
          </w:tcPr>
          <w:p w14:paraId="3E6CF7AE" w14:textId="5005625D" w:rsidR="00FF415D" w:rsidRPr="00B91A6E" w:rsidRDefault="00B91A6E" w:rsidP="00FF415D">
            <w:pPr>
              <w:spacing w:after="0"/>
              <w:jc w:val="center"/>
              <w:rPr>
                <w:rFonts w:ascii="Times New Roman" w:hAnsi="Times New Roman" w:cs="Times New Roman"/>
                <w:sz w:val="20"/>
                <w:szCs w:val="20"/>
                <w:lang w:eastAsia="en-GB"/>
              </w:rPr>
            </w:pPr>
            <w:r w:rsidRPr="00B91A6E">
              <w:rPr>
                <w:rFonts w:ascii="Times New Roman" w:hAnsi="Times New Roman" w:cs="Times New Roman"/>
                <w:bCs/>
                <w:sz w:val="20"/>
                <w:szCs w:val="20"/>
                <w:lang w:eastAsia="zh-CN"/>
              </w:rPr>
              <w:t>L2 bit CRC</w:t>
            </w:r>
            <w:r w:rsidR="00FF415D" w:rsidRPr="00B91A6E">
              <w:rPr>
                <w:rFonts w:ascii="Times New Roman" w:hAnsi="Times New Roman" w:cs="Times New Roman"/>
                <w:bCs/>
                <w:sz w:val="20"/>
                <w:szCs w:val="20"/>
                <w:lang w:eastAsia="zh-CN"/>
              </w:rPr>
              <w:t xml:space="preserve"> per CB group + </w:t>
            </w:r>
            <w:r w:rsidRPr="00B91A6E">
              <w:rPr>
                <w:rFonts w:ascii="Times New Roman" w:hAnsi="Times New Roman" w:cs="Times New Roman"/>
                <w:bCs/>
                <w:sz w:val="20"/>
                <w:szCs w:val="20"/>
                <w:lang w:eastAsia="zh-CN"/>
              </w:rPr>
              <w:t xml:space="preserve">L3 bit CRC per </w:t>
            </w:r>
            <w:r w:rsidR="00FF415D" w:rsidRPr="00B91A6E">
              <w:rPr>
                <w:rFonts w:ascii="Times New Roman" w:hAnsi="Times New Roman" w:cs="Times New Roman"/>
                <w:bCs/>
                <w:sz w:val="20"/>
                <w:szCs w:val="20"/>
                <w:lang w:eastAsia="zh-CN"/>
              </w:rPr>
              <w:t xml:space="preserve">TB </w:t>
            </w:r>
          </w:p>
        </w:tc>
      </w:tr>
      <w:tr w:rsidR="00B91A6E" w:rsidRPr="00B91A6E" w14:paraId="0B2A394D" w14:textId="77777777" w:rsidTr="00013030">
        <w:trPr>
          <w:trHeight w:val="402"/>
          <w:jc w:val="center"/>
        </w:trPr>
        <w:tc>
          <w:tcPr>
            <w:tcW w:w="2737" w:type="dxa"/>
            <w:tcBorders>
              <w:top w:val="single" w:sz="4" w:space="0" w:color="000000"/>
              <w:left w:val="single" w:sz="4" w:space="0" w:color="000000"/>
              <w:bottom w:val="single" w:sz="4" w:space="0" w:color="000000"/>
              <w:right w:val="single" w:sz="4" w:space="0" w:color="000000"/>
            </w:tcBorders>
          </w:tcPr>
          <w:p w14:paraId="29B0EC66" w14:textId="50CD46AB" w:rsidR="00B91A6E" w:rsidRPr="00B91A6E" w:rsidRDefault="00B91A6E">
            <w:pPr>
              <w:jc w:val="both"/>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CBs per CBG</w:t>
            </w:r>
          </w:p>
        </w:tc>
        <w:tc>
          <w:tcPr>
            <w:tcW w:w="3165" w:type="dxa"/>
            <w:tcBorders>
              <w:top w:val="single" w:sz="4" w:space="0" w:color="000000"/>
              <w:left w:val="single" w:sz="4" w:space="0" w:color="000000"/>
              <w:bottom w:val="single" w:sz="4" w:space="0" w:color="000000"/>
            </w:tcBorders>
          </w:tcPr>
          <w:p w14:paraId="0369D84E" w14:textId="6E1CEB68" w:rsidR="00B91A6E" w:rsidRPr="00B91A6E" w:rsidRDefault="00B91A6E" w:rsidP="00FF415D">
            <w:pPr>
              <w:jc w:val="center"/>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1</w:t>
            </w:r>
          </w:p>
        </w:tc>
        <w:tc>
          <w:tcPr>
            <w:tcW w:w="3315" w:type="dxa"/>
            <w:tcBorders>
              <w:top w:val="single" w:sz="4" w:space="0" w:color="000000"/>
              <w:left w:val="single" w:sz="4" w:space="0" w:color="000000"/>
              <w:bottom w:val="single" w:sz="4" w:space="0" w:color="000000"/>
            </w:tcBorders>
          </w:tcPr>
          <w:p w14:paraId="0E9BD43F" w14:textId="667FD417" w:rsidR="00B91A6E" w:rsidRPr="00B91A6E" w:rsidRDefault="00B91A6E" w:rsidP="00FF415D">
            <w:pPr>
              <w:spacing w:after="0"/>
              <w:jc w:val="center"/>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X</w:t>
            </w:r>
          </w:p>
        </w:tc>
      </w:tr>
      <w:tr w:rsidR="00FF415D" w:rsidRPr="00B91A6E" w14:paraId="4AE42A78" w14:textId="77777777" w:rsidTr="00013030">
        <w:trPr>
          <w:trHeight w:val="390"/>
          <w:jc w:val="center"/>
        </w:trPr>
        <w:tc>
          <w:tcPr>
            <w:tcW w:w="2737" w:type="dxa"/>
            <w:tcBorders>
              <w:top w:val="single" w:sz="4" w:space="0" w:color="000000"/>
              <w:left w:val="single" w:sz="4" w:space="0" w:color="000000"/>
              <w:bottom w:val="single" w:sz="4" w:space="0" w:color="000000"/>
              <w:right w:val="single" w:sz="4" w:space="0" w:color="000000"/>
            </w:tcBorders>
            <w:hideMark/>
          </w:tcPr>
          <w:p w14:paraId="7DC87236" w14:textId="77777777" w:rsidR="00FF415D" w:rsidRPr="00B91A6E" w:rsidRDefault="00FF415D">
            <w:pPr>
              <w:jc w:val="both"/>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 xml:space="preserve">Code rate </w:t>
            </w:r>
          </w:p>
        </w:tc>
        <w:tc>
          <w:tcPr>
            <w:tcW w:w="6481" w:type="dxa"/>
            <w:gridSpan w:val="2"/>
            <w:tcBorders>
              <w:top w:val="single" w:sz="4" w:space="0" w:color="000000"/>
              <w:left w:val="single" w:sz="4" w:space="0" w:color="000000"/>
              <w:bottom w:val="single" w:sz="4" w:space="0" w:color="000000"/>
            </w:tcBorders>
            <w:hideMark/>
          </w:tcPr>
          <w:p w14:paraId="5EC872AC" w14:textId="6756C828" w:rsidR="00FF415D" w:rsidRPr="00B91A6E" w:rsidRDefault="00FF415D" w:rsidP="00FF415D">
            <w:pPr>
              <w:spacing w:after="0"/>
              <w:jc w:val="center"/>
              <w:rPr>
                <w:rFonts w:ascii="Times New Roman" w:hAnsi="Times New Roman" w:cs="Times New Roman"/>
                <w:sz w:val="20"/>
                <w:szCs w:val="20"/>
                <w:lang w:eastAsia="en-GB"/>
              </w:rPr>
            </w:pPr>
            <w:r w:rsidRPr="00B91A6E">
              <w:rPr>
                <w:rFonts w:ascii="Times New Roman" w:hAnsi="Times New Roman" w:cs="Times New Roman"/>
                <w:bCs/>
                <w:sz w:val="20"/>
                <w:szCs w:val="20"/>
                <w:lang w:eastAsia="zh-CN"/>
              </w:rPr>
              <w:t>1/</w:t>
            </w:r>
            <w:r w:rsidR="005407C6">
              <w:rPr>
                <w:rFonts w:ascii="Times New Roman" w:hAnsi="Times New Roman" w:cs="Times New Roman"/>
                <w:bCs/>
                <w:sz w:val="20"/>
                <w:szCs w:val="20"/>
                <w:lang w:eastAsia="zh-CN"/>
              </w:rPr>
              <w:t>2</w:t>
            </w:r>
            <w:r w:rsidRPr="00B91A6E">
              <w:rPr>
                <w:rFonts w:ascii="Times New Roman" w:hAnsi="Times New Roman" w:cs="Times New Roman"/>
                <w:bCs/>
                <w:sz w:val="20"/>
                <w:szCs w:val="20"/>
                <w:lang w:eastAsia="zh-CN"/>
              </w:rPr>
              <w:t xml:space="preserve">, </w:t>
            </w:r>
            <w:r w:rsidR="005407C6">
              <w:rPr>
                <w:rFonts w:ascii="Times New Roman" w:hAnsi="Times New Roman" w:cs="Times New Roman"/>
                <w:bCs/>
                <w:sz w:val="20"/>
                <w:szCs w:val="20"/>
                <w:lang w:eastAsia="zh-CN"/>
              </w:rPr>
              <w:t>3</w:t>
            </w:r>
            <w:r w:rsidRPr="00B91A6E">
              <w:rPr>
                <w:rFonts w:ascii="Times New Roman" w:hAnsi="Times New Roman" w:cs="Times New Roman"/>
                <w:bCs/>
                <w:sz w:val="20"/>
                <w:szCs w:val="20"/>
                <w:lang w:eastAsia="zh-CN"/>
              </w:rPr>
              <w:t>/</w:t>
            </w:r>
            <w:r w:rsidR="005407C6">
              <w:rPr>
                <w:rFonts w:ascii="Times New Roman" w:hAnsi="Times New Roman" w:cs="Times New Roman"/>
                <w:bCs/>
                <w:sz w:val="20"/>
                <w:szCs w:val="20"/>
                <w:lang w:eastAsia="zh-CN"/>
              </w:rPr>
              <w:t>4</w:t>
            </w:r>
          </w:p>
        </w:tc>
      </w:tr>
      <w:tr w:rsidR="00FF415D" w:rsidRPr="00B91A6E" w14:paraId="5C110AC2" w14:textId="77777777" w:rsidTr="00013030">
        <w:trPr>
          <w:trHeight w:val="390"/>
          <w:jc w:val="center"/>
        </w:trPr>
        <w:tc>
          <w:tcPr>
            <w:tcW w:w="2737" w:type="dxa"/>
            <w:tcBorders>
              <w:top w:val="single" w:sz="4" w:space="0" w:color="000000"/>
              <w:left w:val="single" w:sz="4" w:space="0" w:color="000000"/>
              <w:bottom w:val="single" w:sz="4" w:space="0" w:color="000000"/>
              <w:right w:val="single" w:sz="4" w:space="0" w:color="000000"/>
            </w:tcBorders>
            <w:hideMark/>
          </w:tcPr>
          <w:p w14:paraId="2E3E0C58" w14:textId="77777777" w:rsidR="00FF415D" w:rsidRPr="00B91A6E" w:rsidRDefault="00FF415D">
            <w:pPr>
              <w:jc w:val="both"/>
              <w:rPr>
                <w:rFonts w:ascii="Times New Roman" w:hAnsi="Times New Roman" w:cs="Times New Roman"/>
                <w:bCs/>
                <w:sz w:val="20"/>
                <w:szCs w:val="20"/>
                <w:lang w:eastAsia="zh-CN"/>
              </w:rPr>
            </w:pPr>
            <w:r w:rsidRPr="00B91A6E">
              <w:rPr>
                <w:rFonts w:ascii="Times New Roman" w:hAnsi="Times New Roman" w:cs="Times New Roman"/>
                <w:bCs/>
                <w:sz w:val="20"/>
                <w:szCs w:val="20"/>
                <w:lang w:eastAsia="zh-CN"/>
              </w:rPr>
              <w:t>Decoding algorithm</w:t>
            </w:r>
          </w:p>
        </w:tc>
        <w:tc>
          <w:tcPr>
            <w:tcW w:w="6481" w:type="dxa"/>
            <w:gridSpan w:val="2"/>
            <w:tcBorders>
              <w:top w:val="single" w:sz="4" w:space="0" w:color="000000"/>
              <w:left w:val="single" w:sz="4" w:space="0" w:color="000000"/>
              <w:bottom w:val="single" w:sz="4" w:space="0" w:color="000000"/>
            </w:tcBorders>
            <w:hideMark/>
          </w:tcPr>
          <w:p w14:paraId="61FDAE35" w14:textId="0E170EAF" w:rsidR="00FF415D" w:rsidRPr="00B91A6E" w:rsidRDefault="00FF415D" w:rsidP="00FF415D">
            <w:pPr>
              <w:spacing w:after="0"/>
              <w:jc w:val="center"/>
              <w:rPr>
                <w:rFonts w:ascii="Times New Roman" w:hAnsi="Times New Roman" w:cs="Times New Roman"/>
                <w:sz w:val="20"/>
                <w:szCs w:val="20"/>
                <w:lang w:eastAsia="en-GB"/>
              </w:rPr>
            </w:pPr>
            <w:r w:rsidRPr="00B91A6E">
              <w:rPr>
                <w:rFonts w:ascii="Times New Roman" w:hAnsi="Times New Roman" w:cs="Times New Roman"/>
                <w:bCs/>
                <w:sz w:val="20"/>
                <w:szCs w:val="20"/>
                <w:lang w:eastAsia="zh-CN"/>
              </w:rPr>
              <w:t>Offset Min-Sum</w:t>
            </w:r>
          </w:p>
        </w:tc>
      </w:tr>
      <w:tr w:rsidR="00FF415D" w:rsidRPr="00B91A6E" w14:paraId="67B361E4" w14:textId="77777777" w:rsidTr="00013030">
        <w:trPr>
          <w:trHeight w:val="479"/>
          <w:jc w:val="center"/>
        </w:trPr>
        <w:tc>
          <w:tcPr>
            <w:tcW w:w="2737" w:type="dxa"/>
            <w:tcBorders>
              <w:top w:val="single" w:sz="4" w:space="0" w:color="000000"/>
              <w:left w:val="single" w:sz="4" w:space="0" w:color="000000"/>
              <w:bottom w:val="single" w:sz="4" w:space="0" w:color="000000"/>
              <w:right w:val="single" w:sz="4" w:space="0" w:color="000000"/>
            </w:tcBorders>
            <w:hideMark/>
          </w:tcPr>
          <w:p w14:paraId="14D696B6" w14:textId="5A03BF81" w:rsidR="00FF415D" w:rsidRPr="00B91A6E" w:rsidRDefault="00DC2679">
            <w:pPr>
              <w:jc w:val="both"/>
              <w:rPr>
                <w:rFonts w:ascii="Times New Roman" w:hAnsi="Times New Roman" w:cs="Times New Roman"/>
                <w:bCs/>
                <w:sz w:val="20"/>
                <w:szCs w:val="20"/>
                <w:lang w:eastAsia="zh-CN"/>
              </w:rPr>
            </w:pPr>
            <w:r>
              <w:rPr>
                <w:rFonts w:ascii="Times New Roman" w:hAnsi="Times New Roman" w:cs="Times New Roman"/>
                <w:sz w:val="20"/>
                <w:szCs w:val="20"/>
                <w:lang w:eastAsia="zh-CN"/>
              </w:rPr>
              <w:t>Iterations</w:t>
            </w:r>
          </w:p>
        </w:tc>
        <w:tc>
          <w:tcPr>
            <w:tcW w:w="3165" w:type="dxa"/>
            <w:tcBorders>
              <w:top w:val="single" w:sz="4" w:space="0" w:color="000000"/>
              <w:left w:val="single" w:sz="4" w:space="0" w:color="000000"/>
              <w:bottom w:val="single" w:sz="4" w:space="0" w:color="000000"/>
            </w:tcBorders>
            <w:hideMark/>
          </w:tcPr>
          <w:p w14:paraId="58D4C429" w14:textId="1B7E9A37" w:rsidR="00FF415D" w:rsidRPr="00B91A6E" w:rsidRDefault="00FF415D">
            <w:pPr>
              <w:spacing w:after="0"/>
              <w:rPr>
                <w:rFonts w:ascii="Times New Roman" w:hAnsi="Times New Roman" w:cs="Times New Roman"/>
                <w:sz w:val="20"/>
                <w:szCs w:val="20"/>
                <w:lang w:eastAsia="en-GB"/>
              </w:rPr>
            </w:pPr>
            <w:r w:rsidRPr="00B91A6E">
              <w:rPr>
                <w:rFonts w:ascii="Times New Roman" w:hAnsi="Times New Roman" w:cs="Times New Roman"/>
                <w:bCs/>
                <w:sz w:val="20"/>
                <w:szCs w:val="20"/>
                <w:lang w:eastAsia="zh-CN"/>
              </w:rPr>
              <w:t>30 or Early termination with parity check + CRC</w:t>
            </w:r>
            <w:r w:rsidR="005407C6">
              <w:rPr>
                <w:rFonts w:ascii="Times New Roman" w:hAnsi="Times New Roman" w:cs="Times New Roman"/>
                <w:bCs/>
                <w:sz w:val="20"/>
                <w:szCs w:val="20"/>
                <w:lang w:eastAsia="zh-CN"/>
              </w:rPr>
              <w:t xml:space="preserve"> </w:t>
            </w:r>
          </w:p>
        </w:tc>
        <w:tc>
          <w:tcPr>
            <w:tcW w:w="3315" w:type="dxa"/>
            <w:tcBorders>
              <w:top w:val="single" w:sz="4" w:space="0" w:color="000000"/>
              <w:left w:val="single" w:sz="4" w:space="0" w:color="000000"/>
              <w:bottom w:val="single" w:sz="4" w:space="0" w:color="000000"/>
            </w:tcBorders>
          </w:tcPr>
          <w:p w14:paraId="1B996B3A" w14:textId="3F156D7C" w:rsidR="00FF415D" w:rsidRPr="00B91A6E" w:rsidRDefault="00FF415D">
            <w:pPr>
              <w:spacing w:after="0"/>
              <w:rPr>
                <w:rFonts w:ascii="Times New Roman" w:hAnsi="Times New Roman" w:cs="Times New Roman"/>
                <w:sz w:val="20"/>
                <w:szCs w:val="20"/>
                <w:lang w:eastAsia="en-GB"/>
              </w:rPr>
            </w:pPr>
            <w:r w:rsidRPr="00B91A6E">
              <w:rPr>
                <w:rFonts w:ascii="Times New Roman" w:hAnsi="Times New Roman" w:cs="Times New Roman"/>
                <w:bCs/>
                <w:sz w:val="20"/>
                <w:szCs w:val="20"/>
                <w:lang w:eastAsia="zh-CN"/>
              </w:rPr>
              <w:t>30 or Early termination with parity check</w:t>
            </w:r>
          </w:p>
        </w:tc>
      </w:tr>
      <w:tr w:rsidR="00FF415D" w:rsidRPr="00B91A6E" w14:paraId="3DD08070" w14:textId="77777777" w:rsidTr="00013030">
        <w:trPr>
          <w:trHeight w:val="402"/>
          <w:jc w:val="center"/>
        </w:trPr>
        <w:tc>
          <w:tcPr>
            <w:tcW w:w="2737" w:type="dxa"/>
            <w:tcBorders>
              <w:top w:val="single" w:sz="4" w:space="0" w:color="000000"/>
              <w:left w:val="single" w:sz="4" w:space="0" w:color="000000"/>
              <w:bottom w:val="single" w:sz="4" w:space="0" w:color="000000"/>
              <w:right w:val="single" w:sz="4" w:space="0" w:color="000000"/>
            </w:tcBorders>
            <w:hideMark/>
          </w:tcPr>
          <w:p w14:paraId="67BF4F27" w14:textId="4EC5882E" w:rsidR="00FF415D" w:rsidRPr="00B91A6E" w:rsidRDefault="00FF415D">
            <w:pPr>
              <w:rPr>
                <w:rFonts w:ascii="Times New Roman" w:hAnsi="Times New Roman" w:cs="Times New Roman"/>
                <w:sz w:val="20"/>
                <w:szCs w:val="20"/>
                <w:lang w:eastAsia="zh-CN"/>
              </w:rPr>
            </w:pPr>
            <w:r w:rsidRPr="00B91A6E">
              <w:rPr>
                <w:rFonts w:ascii="Times New Roman" w:hAnsi="Times New Roman" w:cs="Times New Roman"/>
                <w:sz w:val="20"/>
                <w:szCs w:val="20"/>
                <w:lang w:eastAsia="zh-CN"/>
              </w:rPr>
              <w:t>CBS</w:t>
            </w:r>
            <w:r w:rsidR="00DC2679">
              <w:rPr>
                <w:rFonts w:ascii="Times New Roman" w:hAnsi="Times New Roman" w:cs="Times New Roman"/>
                <w:sz w:val="20"/>
                <w:szCs w:val="20"/>
                <w:lang w:eastAsia="zh-CN"/>
              </w:rPr>
              <w:t xml:space="preserve"> (without CRC)</w:t>
            </w:r>
          </w:p>
        </w:tc>
        <w:tc>
          <w:tcPr>
            <w:tcW w:w="6481" w:type="dxa"/>
            <w:gridSpan w:val="2"/>
            <w:tcBorders>
              <w:top w:val="single" w:sz="4" w:space="0" w:color="000000"/>
              <w:left w:val="single" w:sz="4" w:space="0" w:color="000000"/>
              <w:bottom w:val="single" w:sz="4" w:space="0" w:color="000000"/>
            </w:tcBorders>
            <w:hideMark/>
          </w:tcPr>
          <w:p w14:paraId="5D91CF74" w14:textId="6311BC38" w:rsidR="00FF415D" w:rsidRPr="00B91A6E" w:rsidRDefault="00FF415D" w:rsidP="00FF415D">
            <w:pPr>
              <w:spacing w:after="0"/>
              <w:jc w:val="center"/>
              <w:rPr>
                <w:rFonts w:ascii="Times New Roman" w:hAnsi="Times New Roman" w:cs="Times New Roman"/>
                <w:sz w:val="20"/>
                <w:szCs w:val="20"/>
                <w:lang w:eastAsia="en-GB"/>
              </w:rPr>
            </w:pPr>
            <w:r w:rsidRPr="00B91A6E">
              <w:rPr>
                <w:rFonts w:ascii="Times New Roman" w:hAnsi="Times New Roman" w:cs="Times New Roman"/>
                <w:sz w:val="20"/>
                <w:szCs w:val="20"/>
                <w:lang w:eastAsia="zh-CN"/>
              </w:rPr>
              <w:t>20</w:t>
            </w:r>
            <w:r w:rsidR="00DC2679">
              <w:rPr>
                <w:rFonts w:ascii="Times New Roman" w:hAnsi="Times New Roman" w:cs="Times New Roman"/>
                <w:sz w:val="20"/>
                <w:szCs w:val="20"/>
                <w:lang w:eastAsia="zh-CN"/>
              </w:rPr>
              <w:t>48</w:t>
            </w:r>
            <w:r w:rsidRPr="00B91A6E">
              <w:rPr>
                <w:rFonts w:ascii="Times New Roman" w:hAnsi="Times New Roman" w:cs="Times New Roman"/>
                <w:sz w:val="20"/>
                <w:szCs w:val="20"/>
                <w:lang w:eastAsia="zh-CN"/>
              </w:rPr>
              <w:t xml:space="preserve"> bits</w:t>
            </w:r>
          </w:p>
        </w:tc>
      </w:tr>
      <w:tr w:rsidR="00FF415D" w:rsidRPr="00B91A6E" w14:paraId="1F497DC0" w14:textId="77777777" w:rsidTr="00013030">
        <w:trPr>
          <w:trHeight w:val="390"/>
          <w:jc w:val="center"/>
        </w:trPr>
        <w:tc>
          <w:tcPr>
            <w:tcW w:w="2737" w:type="dxa"/>
            <w:tcBorders>
              <w:top w:val="single" w:sz="4" w:space="0" w:color="000000"/>
              <w:left w:val="single" w:sz="4" w:space="0" w:color="000000"/>
              <w:bottom w:val="single" w:sz="4" w:space="0" w:color="000000"/>
              <w:right w:val="single" w:sz="4" w:space="0" w:color="000000"/>
            </w:tcBorders>
            <w:hideMark/>
          </w:tcPr>
          <w:p w14:paraId="02DC26BA" w14:textId="49BEDA83" w:rsidR="00FF415D" w:rsidRPr="00B91A6E" w:rsidRDefault="00FF415D">
            <w:pPr>
              <w:rPr>
                <w:rFonts w:ascii="Times New Roman" w:hAnsi="Times New Roman" w:cs="Times New Roman"/>
                <w:bCs/>
                <w:iCs/>
                <w:sz w:val="20"/>
                <w:szCs w:val="20"/>
                <w:lang w:eastAsia="zh-CN"/>
              </w:rPr>
            </w:pPr>
            <w:r w:rsidRPr="00B91A6E">
              <w:rPr>
                <w:rFonts w:ascii="Times New Roman" w:hAnsi="Times New Roman" w:cs="Times New Roman"/>
                <w:bCs/>
                <w:iCs/>
                <w:sz w:val="20"/>
                <w:szCs w:val="20"/>
                <w:lang w:eastAsia="zh-CN"/>
              </w:rPr>
              <w:t>TBS</w:t>
            </w:r>
            <w:r w:rsidR="00DC2679">
              <w:rPr>
                <w:rFonts w:ascii="Times New Roman" w:hAnsi="Times New Roman" w:cs="Times New Roman"/>
                <w:bCs/>
                <w:iCs/>
                <w:sz w:val="20"/>
                <w:szCs w:val="20"/>
                <w:lang w:eastAsia="zh-CN"/>
              </w:rPr>
              <w:t xml:space="preserve"> (without CRC)</w:t>
            </w:r>
          </w:p>
        </w:tc>
        <w:tc>
          <w:tcPr>
            <w:tcW w:w="6481" w:type="dxa"/>
            <w:gridSpan w:val="2"/>
            <w:tcBorders>
              <w:top w:val="single" w:sz="4" w:space="0" w:color="000000"/>
              <w:left w:val="single" w:sz="4" w:space="0" w:color="000000"/>
              <w:bottom w:val="single" w:sz="4" w:space="0" w:color="000000"/>
              <w:right w:val="single" w:sz="4" w:space="0" w:color="000000"/>
            </w:tcBorders>
            <w:hideMark/>
          </w:tcPr>
          <w:p w14:paraId="52C65F79" w14:textId="414FD55D" w:rsidR="00FF415D" w:rsidRPr="00B91A6E" w:rsidRDefault="00023AF5">
            <w:pPr>
              <w:jc w:val="center"/>
              <w:rPr>
                <w:rFonts w:ascii="Times New Roman" w:hAnsi="Times New Roman" w:cs="Times New Roman"/>
                <w:sz w:val="20"/>
                <w:szCs w:val="20"/>
                <w:lang w:eastAsia="zh-CN"/>
              </w:rPr>
            </w:pPr>
            <w:r>
              <w:rPr>
                <w:rFonts w:ascii="Times New Roman" w:hAnsi="Times New Roman" w:cs="Times New Roman"/>
                <w:bCs/>
                <w:iCs/>
                <w:sz w:val="20"/>
                <w:szCs w:val="20"/>
                <w:lang w:eastAsia="zh-CN"/>
              </w:rPr>
              <w:t xml:space="preserve">20000, </w:t>
            </w:r>
            <w:r w:rsidR="00DC2679">
              <w:rPr>
                <w:rFonts w:ascii="Times New Roman" w:hAnsi="Times New Roman" w:cs="Times New Roman"/>
                <w:bCs/>
                <w:iCs/>
                <w:sz w:val="20"/>
                <w:szCs w:val="20"/>
                <w:lang w:eastAsia="zh-CN"/>
              </w:rPr>
              <w:t>80000</w:t>
            </w:r>
            <w:r w:rsidR="00FF415D" w:rsidRPr="00B91A6E">
              <w:rPr>
                <w:rFonts w:ascii="Times New Roman" w:hAnsi="Times New Roman" w:cs="Times New Roman"/>
                <w:bCs/>
                <w:iCs/>
                <w:sz w:val="20"/>
                <w:szCs w:val="20"/>
                <w:lang w:eastAsia="zh-CN"/>
              </w:rPr>
              <w:t xml:space="preserve">, </w:t>
            </w:r>
            <w:r>
              <w:rPr>
                <w:rFonts w:ascii="Times New Roman" w:hAnsi="Times New Roman" w:cs="Times New Roman"/>
                <w:bCs/>
                <w:iCs/>
                <w:sz w:val="20"/>
                <w:szCs w:val="20"/>
                <w:lang w:eastAsia="zh-CN"/>
              </w:rPr>
              <w:t>400000</w:t>
            </w:r>
            <w:r w:rsidR="00FF415D" w:rsidRPr="00B91A6E">
              <w:rPr>
                <w:rFonts w:ascii="Times New Roman" w:hAnsi="Times New Roman" w:cs="Times New Roman"/>
                <w:bCs/>
                <w:iCs/>
                <w:sz w:val="20"/>
                <w:szCs w:val="20"/>
                <w:lang w:eastAsia="zh-CN"/>
              </w:rPr>
              <w:t xml:space="preserve">, </w:t>
            </w:r>
            <w:r>
              <w:rPr>
                <w:rFonts w:ascii="Times New Roman" w:hAnsi="Times New Roman" w:cs="Times New Roman"/>
                <w:bCs/>
                <w:iCs/>
                <w:sz w:val="20"/>
                <w:szCs w:val="20"/>
                <w:lang w:eastAsia="zh-CN"/>
              </w:rPr>
              <w:t>60000</w:t>
            </w:r>
            <w:r w:rsidR="00B91A6E" w:rsidRPr="00B91A6E">
              <w:rPr>
                <w:rFonts w:ascii="Times New Roman" w:hAnsi="Times New Roman" w:cs="Times New Roman"/>
                <w:bCs/>
                <w:iCs/>
                <w:sz w:val="20"/>
                <w:szCs w:val="20"/>
                <w:lang w:eastAsia="zh-CN"/>
              </w:rPr>
              <w:t xml:space="preserve">, </w:t>
            </w:r>
            <w:r>
              <w:rPr>
                <w:rFonts w:ascii="Times New Roman" w:hAnsi="Times New Roman" w:cs="Times New Roman"/>
                <w:bCs/>
                <w:iCs/>
                <w:sz w:val="20"/>
                <w:szCs w:val="20"/>
                <w:lang w:eastAsia="zh-CN"/>
              </w:rPr>
              <w:t>800000</w:t>
            </w:r>
          </w:p>
        </w:tc>
      </w:tr>
    </w:tbl>
    <w:p w14:paraId="5BFD3724" w14:textId="50F851FE" w:rsidR="00FF415D" w:rsidRPr="00B91A6E" w:rsidRDefault="00FF415D" w:rsidP="00B118B5">
      <w:pPr>
        <w:spacing w:after="0" w:line="240" w:lineRule="auto"/>
        <w:jc w:val="both"/>
        <w:rPr>
          <w:rFonts w:ascii="Times New Roman" w:hAnsi="Times New Roman" w:cs="Times New Roman"/>
          <w:color w:val="FF0000"/>
          <w:sz w:val="20"/>
          <w:szCs w:val="20"/>
          <w:lang w:eastAsia="zh-CN"/>
        </w:rPr>
      </w:pPr>
    </w:p>
    <w:p w14:paraId="0BB48A17" w14:textId="77777777" w:rsidR="0041306F" w:rsidRDefault="0041306F" w:rsidP="00B118B5">
      <w:pPr>
        <w:spacing w:after="0" w:line="240" w:lineRule="auto"/>
        <w:jc w:val="both"/>
        <w:rPr>
          <w:rFonts w:ascii="Times New Roman" w:hAnsi="Times New Roman" w:cs="Times New Roman"/>
          <w:sz w:val="20"/>
          <w:szCs w:val="20"/>
        </w:rPr>
      </w:pPr>
    </w:p>
    <w:p w14:paraId="0EE88556" w14:textId="2CDEAE09" w:rsidR="0041306F" w:rsidRPr="0041306F" w:rsidRDefault="0041306F" w:rsidP="0041306F">
      <w:pPr>
        <w:spacing w:after="0" w:line="240" w:lineRule="auto"/>
        <w:jc w:val="both"/>
        <w:rPr>
          <w:rFonts w:ascii="Times New Roman" w:hAnsi="Times New Roman" w:cs="Times New Roman"/>
          <w:sz w:val="20"/>
          <w:szCs w:val="20"/>
        </w:rPr>
      </w:pPr>
      <w:r w:rsidRPr="0041306F">
        <w:rPr>
          <w:rFonts w:ascii="Times New Roman" w:hAnsi="Times New Roman" w:cs="Times New Roman"/>
          <w:sz w:val="20"/>
          <w:szCs w:val="20"/>
        </w:rPr>
        <w:t>In Table I, we propose 2048 bits as the CBS to simply the simulation set-up. Different TBSs are assumed considering various bandwidths operations that we expect in NR eMBB. Companies may propose values for L1, L2, L3, and X to evaluate following metrics to finalize the CRC attachment procedure for the</w:t>
      </w:r>
      <w:r>
        <w:rPr>
          <w:rFonts w:ascii="Times New Roman" w:hAnsi="Times New Roman" w:cs="Times New Roman"/>
          <w:sz w:val="20"/>
          <w:szCs w:val="20"/>
        </w:rPr>
        <w:t xml:space="preserve"> </w:t>
      </w:r>
      <w:r w:rsidRPr="0041306F">
        <w:rPr>
          <w:rFonts w:ascii="Times New Roman" w:hAnsi="Times New Roman" w:cs="Times New Roman"/>
          <w:sz w:val="20"/>
          <w:szCs w:val="20"/>
        </w:rPr>
        <w:t xml:space="preserve">eMBB data channel. </w:t>
      </w:r>
    </w:p>
    <w:p w14:paraId="094FED1E" w14:textId="77777777" w:rsidR="0041306F" w:rsidRPr="0041306F" w:rsidRDefault="0041306F" w:rsidP="0041306F">
      <w:pPr>
        <w:spacing w:after="0" w:line="240" w:lineRule="auto"/>
        <w:jc w:val="both"/>
        <w:rPr>
          <w:rFonts w:ascii="Times New Roman" w:hAnsi="Times New Roman" w:cs="Times New Roman"/>
          <w:sz w:val="20"/>
          <w:szCs w:val="20"/>
        </w:rPr>
      </w:pPr>
    </w:p>
    <w:p w14:paraId="5A484634" w14:textId="50ED1A13" w:rsidR="0041306F" w:rsidRPr="0041306F" w:rsidRDefault="0041306F" w:rsidP="0041306F">
      <w:pPr>
        <w:pStyle w:val="ListParagraph"/>
        <w:numPr>
          <w:ilvl w:val="0"/>
          <w:numId w:val="43"/>
        </w:numPr>
        <w:spacing w:after="0" w:line="240" w:lineRule="auto"/>
        <w:jc w:val="both"/>
        <w:rPr>
          <w:rFonts w:ascii="Times New Roman" w:hAnsi="Times New Roman" w:cs="Times New Roman"/>
          <w:sz w:val="20"/>
          <w:szCs w:val="20"/>
        </w:rPr>
      </w:pPr>
      <w:r w:rsidRPr="0041306F">
        <w:rPr>
          <w:rFonts w:ascii="Times New Roman" w:hAnsi="Times New Roman" w:cs="Times New Roman"/>
          <w:sz w:val="20"/>
          <w:szCs w:val="20"/>
        </w:rPr>
        <w:t xml:space="preserve">CRC overhead comparison when providing similar FAR. </w:t>
      </w:r>
    </w:p>
    <w:p w14:paraId="21BA1C79" w14:textId="10063E62" w:rsidR="0041306F" w:rsidRPr="0041306F" w:rsidRDefault="0041306F" w:rsidP="0041306F">
      <w:pPr>
        <w:pStyle w:val="ListParagraph"/>
        <w:numPr>
          <w:ilvl w:val="0"/>
          <w:numId w:val="43"/>
        </w:numPr>
        <w:spacing w:after="0" w:line="240" w:lineRule="auto"/>
        <w:jc w:val="both"/>
        <w:rPr>
          <w:rFonts w:ascii="Times New Roman" w:hAnsi="Times New Roman" w:cs="Times New Roman"/>
          <w:sz w:val="20"/>
          <w:szCs w:val="20"/>
        </w:rPr>
      </w:pPr>
      <w:r w:rsidRPr="0041306F">
        <w:rPr>
          <w:rFonts w:ascii="Times New Roman" w:hAnsi="Times New Roman" w:cs="Times New Roman"/>
          <w:sz w:val="20"/>
          <w:szCs w:val="20"/>
        </w:rPr>
        <w:t xml:space="preserve">False early termination (CB is in error, but CRC or parity check passes) rate. This will make decoder to continue decoding for next CBs. </w:t>
      </w:r>
    </w:p>
    <w:p w14:paraId="7BE310CA" w14:textId="2EDF04AF" w:rsidR="0041306F" w:rsidRPr="0041306F" w:rsidRDefault="0041306F" w:rsidP="0041306F">
      <w:pPr>
        <w:pStyle w:val="ListParagraph"/>
        <w:numPr>
          <w:ilvl w:val="0"/>
          <w:numId w:val="43"/>
        </w:numPr>
        <w:spacing w:after="0" w:line="240" w:lineRule="auto"/>
        <w:jc w:val="both"/>
        <w:rPr>
          <w:rFonts w:ascii="Times New Roman" w:hAnsi="Times New Roman" w:cs="Times New Roman"/>
          <w:sz w:val="20"/>
          <w:szCs w:val="20"/>
        </w:rPr>
      </w:pPr>
      <w:r w:rsidRPr="0041306F">
        <w:rPr>
          <w:rFonts w:ascii="Times New Roman" w:hAnsi="Times New Roman" w:cs="Times New Roman"/>
          <w:sz w:val="20"/>
          <w:szCs w:val="20"/>
        </w:rPr>
        <w:t xml:space="preserve">Miss early termination (CB is in correct, but CRC or parity check fails) rate. This will stop decoding, but TB may be having no errors. </w:t>
      </w:r>
    </w:p>
    <w:p w14:paraId="5108167C" w14:textId="77777777" w:rsidR="0041306F" w:rsidRPr="0041306F" w:rsidRDefault="0041306F" w:rsidP="0041306F">
      <w:pPr>
        <w:spacing w:after="0" w:line="240" w:lineRule="auto"/>
        <w:jc w:val="both"/>
        <w:rPr>
          <w:rFonts w:ascii="Times New Roman" w:hAnsi="Times New Roman" w:cs="Times New Roman"/>
          <w:sz w:val="20"/>
          <w:szCs w:val="20"/>
        </w:rPr>
      </w:pPr>
    </w:p>
    <w:p w14:paraId="3E536BB0" w14:textId="77777777" w:rsidR="0041306F" w:rsidRPr="0041306F" w:rsidRDefault="0041306F" w:rsidP="0041306F">
      <w:pPr>
        <w:spacing w:after="0" w:line="240" w:lineRule="auto"/>
        <w:jc w:val="both"/>
        <w:rPr>
          <w:rFonts w:ascii="Times New Roman" w:hAnsi="Times New Roman" w:cs="Times New Roman"/>
          <w:sz w:val="20"/>
          <w:szCs w:val="20"/>
        </w:rPr>
      </w:pPr>
      <w:r w:rsidRPr="0041306F">
        <w:rPr>
          <w:rFonts w:ascii="Times New Roman" w:hAnsi="Times New Roman" w:cs="Times New Roman"/>
          <w:sz w:val="20"/>
          <w:szCs w:val="20"/>
        </w:rPr>
        <w:t xml:space="preserve">Further discussion is required to identify other parameters that are needed to investigate. </w:t>
      </w:r>
    </w:p>
    <w:p w14:paraId="21571435" w14:textId="77777777" w:rsidR="0041306F" w:rsidRPr="0041306F" w:rsidRDefault="0041306F" w:rsidP="0041306F">
      <w:pPr>
        <w:spacing w:after="0" w:line="240" w:lineRule="auto"/>
        <w:jc w:val="both"/>
        <w:rPr>
          <w:rFonts w:ascii="Times New Roman" w:hAnsi="Times New Roman" w:cs="Times New Roman"/>
          <w:sz w:val="20"/>
          <w:szCs w:val="20"/>
        </w:rPr>
      </w:pPr>
    </w:p>
    <w:p w14:paraId="46A9025C" w14:textId="24AF03DB" w:rsidR="0041306F" w:rsidRDefault="0041306F" w:rsidP="0041306F">
      <w:pPr>
        <w:spacing w:after="0" w:line="240" w:lineRule="auto"/>
        <w:jc w:val="both"/>
        <w:rPr>
          <w:rFonts w:ascii="Times New Roman" w:hAnsi="Times New Roman" w:cs="Times New Roman"/>
          <w:sz w:val="20"/>
          <w:szCs w:val="20"/>
        </w:rPr>
      </w:pPr>
      <w:r w:rsidRPr="0041306F">
        <w:rPr>
          <w:rFonts w:ascii="Times New Roman" w:hAnsi="Times New Roman" w:cs="Times New Roman"/>
          <w:b/>
          <w:sz w:val="20"/>
          <w:szCs w:val="20"/>
        </w:rPr>
        <w:t>Proposal 1:</w:t>
      </w:r>
      <w:r w:rsidRPr="0041306F">
        <w:rPr>
          <w:rFonts w:ascii="Times New Roman" w:hAnsi="Times New Roman" w:cs="Times New Roman"/>
          <w:sz w:val="20"/>
          <w:szCs w:val="20"/>
        </w:rPr>
        <w:t xml:space="preserve"> Ran1 should investigate CRC attachment to finalize CRC attachment for eMBB data channel.  </w:t>
      </w:r>
    </w:p>
    <w:p w14:paraId="5C7476D6" w14:textId="2DCE560D" w:rsidR="004771E8" w:rsidRPr="00B91A6E" w:rsidRDefault="004771E8" w:rsidP="00B118B5">
      <w:pPr>
        <w:spacing w:after="0" w:line="240" w:lineRule="auto"/>
        <w:jc w:val="both"/>
        <w:rPr>
          <w:rFonts w:ascii="Times New Roman" w:hAnsi="Times New Roman" w:cs="Times New Roman"/>
          <w:color w:val="FF0000"/>
          <w:sz w:val="20"/>
          <w:szCs w:val="20"/>
          <w:lang w:eastAsia="zh-CN"/>
        </w:rPr>
      </w:pPr>
      <w:r>
        <w:rPr>
          <w:rFonts w:ascii="Times New Roman" w:hAnsi="Times New Roman" w:cs="Times New Roman"/>
          <w:sz w:val="20"/>
          <w:szCs w:val="20"/>
        </w:rPr>
        <w:t xml:space="preserve"> </w:t>
      </w:r>
    </w:p>
    <w:bookmarkEnd w:id="4"/>
    <w:bookmarkEnd w:id="5"/>
    <w:p w14:paraId="2F250B90" w14:textId="4026197A" w:rsidR="0061657A" w:rsidRPr="00817ECB" w:rsidRDefault="0061657A" w:rsidP="0061657A">
      <w:pPr>
        <w:pStyle w:val="Heading1"/>
      </w:pPr>
      <w:r w:rsidRPr="003F3B54">
        <w:rPr>
          <w:lang w:eastAsia="zh-CN"/>
        </w:rPr>
        <w:t>3</w:t>
      </w:r>
      <w:r w:rsidRPr="003F3B54">
        <w:tab/>
        <w:t>Conclusion</w:t>
      </w:r>
    </w:p>
    <w:p w14:paraId="720964D6" w14:textId="52AA69F5" w:rsidR="004D47EC" w:rsidRDefault="004771E8" w:rsidP="004D47EC">
      <w:pPr>
        <w:jc w:val="both"/>
        <w:rPr>
          <w:rFonts w:ascii="Times New Roman" w:hAnsi="Times New Roman" w:cs="Times New Roman"/>
          <w:sz w:val="20"/>
          <w:szCs w:val="20"/>
        </w:rPr>
      </w:pPr>
      <w:r>
        <w:rPr>
          <w:rFonts w:ascii="Times New Roman" w:hAnsi="Times New Roman" w:cs="Times New Roman"/>
          <w:sz w:val="20"/>
          <w:szCs w:val="20"/>
        </w:rPr>
        <w:t>In this contribution, we summarize the importance of three-</w:t>
      </w:r>
      <w:r w:rsidR="00457AD3">
        <w:rPr>
          <w:rFonts w:ascii="Times New Roman" w:hAnsi="Times New Roman" w:cs="Times New Roman"/>
          <w:sz w:val="20"/>
          <w:szCs w:val="20"/>
        </w:rPr>
        <w:t>tier</w:t>
      </w:r>
      <w:r>
        <w:rPr>
          <w:rFonts w:ascii="Times New Roman" w:hAnsi="Times New Roman" w:cs="Times New Roman"/>
          <w:sz w:val="20"/>
          <w:szCs w:val="20"/>
        </w:rPr>
        <w:t xml:space="preserve"> error detection scheme and provide evaluation guidelines to start comparing different solutions.</w:t>
      </w:r>
      <w:bookmarkStart w:id="6" w:name="_GoBack"/>
      <w:bookmarkEnd w:id="6"/>
    </w:p>
    <w:p w14:paraId="4CE55B41" w14:textId="77777777" w:rsidR="004771E8" w:rsidRPr="00B91A6E" w:rsidRDefault="004771E8" w:rsidP="004771E8">
      <w:pPr>
        <w:spacing w:after="0" w:line="240" w:lineRule="auto"/>
        <w:jc w:val="both"/>
        <w:rPr>
          <w:rFonts w:ascii="Times New Roman" w:hAnsi="Times New Roman" w:cs="Times New Roman"/>
          <w:color w:val="FF0000"/>
          <w:sz w:val="20"/>
          <w:szCs w:val="20"/>
          <w:lang w:eastAsia="zh-CN"/>
        </w:rPr>
      </w:pPr>
      <w:r w:rsidRPr="004771E8">
        <w:rPr>
          <w:rFonts w:ascii="Times New Roman" w:hAnsi="Times New Roman" w:cs="Times New Roman"/>
          <w:b/>
          <w:sz w:val="20"/>
          <w:szCs w:val="20"/>
        </w:rPr>
        <w:t>Proposal 1</w:t>
      </w:r>
      <w:r>
        <w:rPr>
          <w:rFonts w:ascii="Times New Roman" w:hAnsi="Times New Roman" w:cs="Times New Roman"/>
          <w:sz w:val="20"/>
          <w:szCs w:val="20"/>
        </w:rPr>
        <w:t xml:space="preserve">: Ran1 should investigate CRC attachment to finalize CRC attachment for eMBB data channel.  </w:t>
      </w:r>
    </w:p>
    <w:p w14:paraId="6501B400" w14:textId="77777777" w:rsidR="009058A0" w:rsidRPr="003F3B54" w:rsidRDefault="009058A0" w:rsidP="009058A0">
      <w:pPr>
        <w:pStyle w:val="Heading1"/>
        <w:rPr>
          <w:lang w:eastAsia="zh-CN"/>
        </w:rPr>
      </w:pPr>
      <w:r w:rsidRPr="003F3B54">
        <w:rPr>
          <w:lang w:eastAsia="zh-CN"/>
        </w:rPr>
        <w:t>References</w:t>
      </w:r>
    </w:p>
    <w:p w14:paraId="01AD7F91" w14:textId="7E4B863F" w:rsidR="00FA166B" w:rsidRPr="00FA166B" w:rsidRDefault="00FA166B" w:rsidP="004771E8">
      <w:pPr>
        <w:numPr>
          <w:ilvl w:val="0"/>
          <w:numId w:val="1"/>
        </w:numPr>
        <w:spacing w:after="120" w:line="276" w:lineRule="auto"/>
        <w:jc w:val="both"/>
        <w:rPr>
          <w:rFonts w:ascii="Times New Roman" w:hAnsi="Times New Roman" w:cs="Times New Roman"/>
          <w:sz w:val="20"/>
          <w:szCs w:val="20"/>
        </w:rPr>
      </w:pPr>
      <w:r w:rsidRPr="00FA166B">
        <w:rPr>
          <w:rFonts w:ascii="Times New Roman" w:hAnsi="Times New Roman" w:cs="Times New Roman"/>
          <w:sz w:val="20"/>
          <w:szCs w:val="20"/>
        </w:rPr>
        <w:t>R1-1701030</w:t>
      </w:r>
      <w:r w:rsidRPr="00FA166B">
        <w:rPr>
          <w:rFonts w:ascii="Times New Roman" w:hAnsi="Times New Roman" w:cs="Times New Roman"/>
          <w:sz w:val="20"/>
          <w:szCs w:val="20"/>
        </w:rPr>
        <w:tab/>
      </w:r>
      <w:r>
        <w:rPr>
          <w:rFonts w:ascii="Times New Roman" w:hAnsi="Times New Roman" w:cs="Times New Roman"/>
          <w:sz w:val="20"/>
          <w:szCs w:val="20"/>
        </w:rPr>
        <w:t>“</w:t>
      </w:r>
      <w:r w:rsidRPr="00FA166B">
        <w:rPr>
          <w:rFonts w:ascii="Times New Roman" w:hAnsi="Times New Roman" w:cs="Times New Roman"/>
          <w:sz w:val="20"/>
          <w:szCs w:val="20"/>
        </w:rPr>
        <w:t>CRC attachment for eMBB data</w:t>
      </w:r>
      <w:r>
        <w:rPr>
          <w:rFonts w:ascii="Times New Roman" w:hAnsi="Times New Roman" w:cs="Times New Roman"/>
          <w:sz w:val="20"/>
          <w:szCs w:val="20"/>
        </w:rPr>
        <w:t xml:space="preserve">”, </w:t>
      </w:r>
      <w:r w:rsidRPr="00FA166B">
        <w:rPr>
          <w:rFonts w:ascii="Times New Roman" w:hAnsi="Times New Roman" w:cs="Times New Roman"/>
          <w:sz w:val="20"/>
          <w:szCs w:val="20"/>
        </w:rPr>
        <w:t>Nokia, Alcatel-Lucent Shanghai Bell</w:t>
      </w:r>
    </w:p>
    <w:p w14:paraId="7288A8C8" w14:textId="77777777" w:rsidR="004771E8" w:rsidRDefault="00FA166B" w:rsidP="006D35D9">
      <w:pPr>
        <w:numPr>
          <w:ilvl w:val="0"/>
          <w:numId w:val="1"/>
        </w:numPr>
        <w:spacing w:after="120" w:line="276" w:lineRule="auto"/>
        <w:jc w:val="both"/>
        <w:rPr>
          <w:rFonts w:ascii="Times New Roman" w:hAnsi="Times New Roman" w:cs="Times New Roman"/>
          <w:sz w:val="20"/>
          <w:szCs w:val="20"/>
        </w:rPr>
      </w:pPr>
      <w:r w:rsidRPr="004771E8">
        <w:rPr>
          <w:rFonts w:ascii="Times New Roman" w:hAnsi="Times New Roman" w:cs="Times New Roman"/>
          <w:sz w:val="20"/>
          <w:szCs w:val="20"/>
          <w:lang w:val="en-US"/>
        </w:rPr>
        <w:t>R1-1703105</w:t>
      </w:r>
      <w:r w:rsidR="00FA3958" w:rsidRPr="004771E8">
        <w:rPr>
          <w:rFonts w:ascii="Times New Roman" w:hAnsi="Times New Roman" w:cs="Times New Roman"/>
          <w:sz w:val="20"/>
          <w:szCs w:val="20"/>
          <w:lang w:val="en-US"/>
        </w:rPr>
        <w:t xml:space="preserve"> </w:t>
      </w:r>
      <w:r w:rsidR="00CB2150" w:rsidRPr="004771E8">
        <w:rPr>
          <w:rFonts w:ascii="Times New Roman" w:hAnsi="Times New Roman" w:cs="Times New Roman"/>
          <w:sz w:val="20"/>
          <w:szCs w:val="20"/>
        </w:rPr>
        <w:t>“</w:t>
      </w:r>
      <w:r w:rsidRPr="004771E8">
        <w:rPr>
          <w:rFonts w:ascii="Times New Roman" w:hAnsi="Times New Roman" w:cs="Times New Roman"/>
          <w:sz w:val="20"/>
          <w:szCs w:val="20"/>
          <w:lang w:val="en-US"/>
        </w:rPr>
        <w:t>Segmentation principles for LDPC</w:t>
      </w:r>
      <w:r w:rsidRPr="004771E8">
        <w:rPr>
          <w:rFonts w:ascii="Times New Roman" w:hAnsi="Times New Roman" w:cs="Times New Roman"/>
          <w:sz w:val="20"/>
          <w:szCs w:val="20"/>
        </w:rPr>
        <w:t>”,</w:t>
      </w:r>
      <w:r w:rsidR="003C1092" w:rsidRPr="004771E8">
        <w:rPr>
          <w:rFonts w:ascii="Times New Roman" w:hAnsi="Times New Roman" w:cs="Times New Roman"/>
          <w:sz w:val="20"/>
          <w:szCs w:val="20"/>
        </w:rPr>
        <w:t xml:space="preserve"> </w:t>
      </w:r>
      <w:r w:rsidR="00CB2150" w:rsidRPr="004771E8">
        <w:rPr>
          <w:rFonts w:ascii="Times New Roman" w:hAnsi="Times New Roman" w:cs="Times New Roman"/>
          <w:sz w:val="20"/>
          <w:szCs w:val="20"/>
        </w:rPr>
        <w:t>Nokia, Alcatel-Lucent Shanghai Bell</w:t>
      </w:r>
    </w:p>
    <w:p w14:paraId="4E9C87FE" w14:textId="4C54F6B0" w:rsidR="004771E8" w:rsidRPr="004771E8" w:rsidRDefault="00167D13" w:rsidP="006D35D9">
      <w:pPr>
        <w:numPr>
          <w:ilvl w:val="0"/>
          <w:numId w:val="1"/>
        </w:numPr>
        <w:spacing w:after="120" w:line="276" w:lineRule="auto"/>
        <w:jc w:val="both"/>
        <w:rPr>
          <w:rFonts w:ascii="Times New Roman" w:hAnsi="Times New Roman" w:cs="Times New Roman"/>
          <w:sz w:val="20"/>
          <w:szCs w:val="20"/>
        </w:rPr>
      </w:pPr>
      <w:r w:rsidRPr="004771E8">
        <w:rPr>
          <w:rFonts w:ascii="Times New Roman" w:hAnsi="Times New Roman" w:cs="Times New Roman"/>
          <w:sz w:val="20"/>
          <w:szCs w:val="20"/>
        </w:rPr>
        <w:t xml:space="preserve">R1-1609588 “False alarm rate of LDPC decoding and CRC requirement”, Nokia, Alcatel-Lucent Shanghai Bell  </w:t>
      </w:r>
    </w:p>
    <w:p w14:paraId="1AD84B0C" w14:textId="77777777" w:rsidR="004771E8" w:rsidRDefault="004771E8" w:rsidP="004771E8">
      <w:pPr>
        <w:pStyle w:val="ListParagraph"/>
        <w:numPr>
          <w:ilvl w:val="0"/>
          <w:numId w:val="1"/>
        </w:numPr>
        <w:spacing w:line="276" w:lineRule="auto"/>
        <w:rPr>
          <w:rFonts w:ascii="Times New Roman" w:hAnsi="Times New Roman" w:cs="Times New Roman"/>
          <w:sz w:val="20"/>
          <w:szCs w:val="20"/>
        </w:rPr>
      </w:pPr>
      <w:r w:rsidRPr="00167D13">
        <w:rPr>
          <w:rFonts w:ascii="Times New Roman" w:hAnsi="Times New Roman" w:cs="Times New Roman"/>
          <w:sz w:val="20"/>
          <w:szCs w:val="20"/>
        </w:rPr>
        <w:t>J. F. Cheng and H. Koorapaty, "Error Detection Reliability of LTE CRC Coding," Vehicular Technology Conference, 2008. VTC 2008-Fall. IEEE 68th, Calgary, BC, 2008, pp. 1-5.</w:t>
      </w:r>
    </w:p>
    <w:p w14:paraId="44CA2AC9" w14:textId="77777777" w:rsidR="004771E8" w:rsidRPr="00005FA5" w:rsidRDefault="004771E8" w:rsidP="004771E8">
      <w:pPr>
        <w:pStyle w:val="ListParagraph"/>
        <w:spacing w:after="120"/>
        <w:ind w:left="360"/>
        <w:jc w:val="both"/>
        <w:rPr>
          <w:rFonts w:ascii="Times New Roman" w:hAnsi="Times New Roman" w:cs="Times New Roman"/>
          <w:sz w:val="20"/>
          <w:szCs w:val="20"/>
        </w:rPr>
      </w:pPr>
    </w:p>
    <w:p w14:paraId="36C27EFF" w14:textId="77777777" w:rsidR="007469EE" w:rsidRDefault="007469EE" w:rsidP="007469EE">
      <w:pPr>
        <w:pStyle w:val="ListParagraph"/>
        <w:spacing w:after="120"/>
        <w:ind w:left="360"/>
        <w:jc w:val="both"/>
        <w:rPr>
          <w:rFonts w:ascii="Times New Roman" w:hAnsi="Times New Roman" w:cs="Times New Roman"/>
          <w:sz w:val="20"/>
          <w:szCs w:val="20"/>
        </w:rPr>
      </w:pPr>
    </w:p>
    <w:sectPr w:rsidR="007469E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1A496" w14:textId="77777777" w:rsidR="001153F5" w:rsidRDefault="001153F5">
      <w:r>
        <w:separator/>
      </w:r>
    </w:p>
  </w:endnote>
  <w:endnote w:type="continuationSeparator" w:id="0">
    <w:p w14:paraId="763E7F79" w14:textId="77777777" w:rsidR="001153F5" w:rsidRDefault="0011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E03D8" w14:textId="77777777" w:rsidR="001153F5" w:rsidRDefault="001153F5">
      <w:r>
        <w:separator/>
      </w:r>
    </w:p>
  </w:footnote>
  <w:footnote w:type="continuationSeparator" w:id="0">
    <w:p w14:paraId="2F5982BE" w14:textId="77777777" w:rsidR="001153F5" w:rsidRDefault="00115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616538"/>
    <w:multiLevelType w:val="hybridMultilevel"/>
    <w:tmpl w:val="A7BC8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2163A5"/>
    <w:multiLevelType w:val="hybridMultilevel"/>
    <w:tmpl w:val="16EA604C"/>
    <w:lvl w:ilvl="0" w:tplc="08090001">
      <w:start w:val="1"/>
      <w:numFmt w:val="bullet"/>
      <w:lvlText w:val=""/>
      <w:lvlJc w:val="left"/>
      <w:pPr>
        <w:ind w:left="750" w:hanging="39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56F1A67"/>
    <w:multiLevelType w:val="hybridMultilevel"/>
    <w:tmpl w:val="14B81D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3"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27F11"/>
    <w:multiLevelType w:val="hybridMultilevel"/>
    <w:tmpl w:val="E6E69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363A74"/>
    <w:multiLevelType w:val="hybridMultilevel"/>
    <w:tmpl w:val="3FDAE5E6"/>
    <w:lvl w:ilvl="0" w:tplc="8B584D48">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065E11"/>
    <w:multiLevelType w:val="hybridMultilevel"/>
    <w:tmpl w:val="F6C801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2"/>
  </w:num>
  <w:num w:numId="3">
    <w:abstractNumId w:val="24"/>
  </w:num>
  <w:num w:numId="4">
    <w:abstractNumId w:val="36"/>
  </w:num>
  <w:num w:numId="5">
    <w:abstractNumId w:val="46"/>
  </w:num>
  <w:num w:numId="6">
    <w:abstractNumId w:val="31"/>
  </w:num>
  <w:num w:numId="7">
    <w:abstractNumId w:val="10"/>
  </w:num>
  <w:num w:numId="8">
    <w:abstractNumId w:val="35"/>
  </w:num>
  <w:num w:numId="9">
    <w:abstractNumId w:val="28"/>
  </w:num>
  <w:num w:numId="10">
    <w:abstractNumId w:val="4"/>
  </w:num>
  <w:num w:numId="11">
    <w:abstractNumId w:val="23"/>
  </w:num>
  <w:num w:numId="12">
    <w:abstractNumId w:val="0"/>
  </w:num>
  <w:num w:numId="13">
    <w:abstractNumId w:val="45"/>
  </w:num>
  <w:num w:numId="14">
    <w:abstractNumId w:val="15"/>
  </w:num>
  <w:num w:numId="15">
    <w:abstractNumId w:val="27"/>
  </w:num>
  <w:num w:numId="16">
    <w:abstractNumId w:val="8"/>
  </w:num>
  <w:num w:numId="17">
    <w:abstractNumId w:val="16"/>
  </w:num>
  <w:num w:numId="18">
    <w:abstractNumId w:val="34"/>
  </w:num>
  <w:num w:numId="19">
    <w:abstractNumId w:val="32"/>
  </w:num>
  <w:num w:numId="20">
    <w:abstractNumId w:val="21"/>
  </w:num>
  <w:num w:numId="21">
    <w:abstractNumId w:val="44"/>
  </w:num>
  <w:num w:numId="22">
    <w:abstractNumId w:val="25"/>
  </w:num>
  <w:num w:numId="23">
    <w:abstractNumId w:val="40"/>
  </w:num>
  <w:num w:numId="24">
    <w:abstractNumId w:val="22"/>
    <w:lvlOverride w:ilvl="0">
      <w:startOverride w:val="1"/>
    </w:lvlOverride>
  </w:num>
  <w:num w:numId="25">
    <w:abstractNumId w:val="43"/>
  </w:num>
  <w:num w:numId="26">
    <w:abstractNumId w:val="3"/>
  </w:num>
  <w:num w:numId="27">
    <w:abstractNumId w:val="20"/>
  </w:num>
  <w:num w:numId="28">
    <w:abstractNumId w:val="18"/>
  </w:num>
  <w:num w:numId="29">
    <w:abstractNumId w:val="30"/>
  </w:num>
  <w:num w:numId="30">
    <w:abstractNumId w:val="9"/>
  </w:num>
  <w:num w:numId="31">
    <w:abstractNumId w:val="42"/>
  </w:num>
  <w:num w:numId="32">
    <w:abstractNumId w:val="1"/>
  </w:num>
  <w:num w:numId="33">
    <w:abstractNumId w:val="7"/>
  </w:num>
  <w:num w:numId="34">
    <w:abstractNumId w:val="14"/>
  </w:num>
  <w:num w:numId="35">
    <w:abstractNumId w:val="6"/>
  </w:num>
  <w:num w:numId="36">
    <w:abstractNumId w:val="17"/>
  </w:num>
  <w:num w:numId="37">
    <w:abstractNumId w:val="26"/>
  </w:num>
  <w:num w:numId="38">
    <w:abstractNumId w:val="38"/>
  </w:num>
  <w:num w:numId="39">
    <w:abstractNumId w:val="33"/>
  </w:num>
  <w:num w:numId="40">
    <w:abstractNumId w:val="39"/>
  </w:num>
  <w:num w:numId="41">
    <w:abstractNumId w:val="5"/>
  </w:num>
  <w:num w:numId="42">
    <w:abstractNumId w:val="13"/>
  </w:num>
  <w:num w:numId="43">
    <w:abstractNumId w:val="29"/>
  </w:num>
  <w:num w:numId="44">
    <w:abstractNumId w:val="19"/>
  </w:num>
  <w:num w:numId="45">
    <w:abstractNumId w:val="41"/>
  </w:num>
  <w:num w:numId="46">
    <w:abstractNumId w:val="11"/>
  </w:num>
  <w:num w:numId="47">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303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3AF5"/>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240B"/>
    <w:rsid w:val="000932E8"/>
    <w:rsid w:val="000933D6"/>
    <w:rsid w:val="00093520"/>
    <w:rsid w:val="00093F86"/>
    <w:rsid w:val="0009401C"/>
    <w:rsid w:val="000945F8"/>
    <w:rsid w:val="00094A5A"/>
    <w:rsid w:val="00095DEB"/>
    <w:rsid w:val="000962CD"/>
    <w:rsid w:val="00097058"/>
    <w:rsid w:val="00097924"/>
    <w:rsid w:val="00097F98"/>
    <w:rsid w:val="000A077E"/>
    <w:rsid w:val="000A1175"/>
    <w:rsid w:val="000A20BA"/>
    <w:rsid w:val="000A2249"/>
    <w:rsid w:val="000A2D56"/>
    <w:rsid w:val="000A356B"/>
    <w:rsid w:val="000A3D29"/>
    <w:rsid w:val="000A4311"/>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1E71"/>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3F5"/>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132"/>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989"/>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06F"/>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57AD3"/>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1E8"/>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350"/>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07C6"/>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8FD"/>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646F"/>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6ECF"/>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389"/>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5808"/>
    <w:rsid w:val="00A763E0"/>
    <w:rsid w:val="00A768B5"/>
    <w:rsid w:val="00A769DE"/>
    <w:rsid w:val="00A76A0B"/>
    <w:rsid w:val="00A774B2"/>
    <w:rsid w:val="00A77B1B"/>
    <w:rsid w:val="00A8025E"/>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23C7"/>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1A6E"/>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598"/>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347B"/>
    <w:rsid w:val="00C25681"/>
    <w:rsid w:val="00C26CD4"/>
    <w:rsid w:val="00C275B1"/>
    <w:rsid w:val="00C31852"/>
    <w:rsid w:val="00C3187D"/>
    <w:rsid w:val="00C328B1"/>
    <w:rsid w:val="00C32C8F"/>
    <w:rsid w:val="00C32CA6"/>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9DB"/>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E0C"/>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902"/>
    <w:rsid w:val="00DC0A03"/>
    <w:rsid w:val="00DC0CBA"/>
    <w:rsid w:val="00DC0F03"/>
    <w:rsid w:val="00DC20CE"/>
    <w:rsid w:val="00DC20E3"/>
    <w:rsid w:val="00DC222C"/>
    <w:rsid w:val="00DC248C"/>
    <w:rsid w:val="00DC2679"/>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5E"/>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6C6D"/>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312"/>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66B"/>
    <w:rsid w:val="00FA1E4D"/>
    <w:rsid w:val="00FA2DCA"/>
    <w:rsid w:val="00FA3278"/>
    <w:rsid w:val="00FA3428"/>
    <w:rsid w:val="00FA381E"/>
    <w:rsid w:val="00FA3958"/>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15D"/>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57AD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57A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7A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9C646F"/>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3546494">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1800658">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375738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324008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248708">
      <w:bodyDiv w:val="1"/>
      <w:marLeft w:val="0"/>
      <w:marRight w:val="0"/>
      <w:marTop w:val="0"/>
      <w:marBottom w:val="0"/>
      <w:divBdr>
        <w:top w:val="none" w:sz="0" w:space="0" w:color="auto"/>
        <w:left w:val="none" w:sz="0" w:space="0" w:color="auto"/>
        <w:bottom w:val="none" w:sz="0" w:space="0" w:color="auto"/>
        <w:right w:val="none" w:sz="0" w:space="0" w:color="auto"/>
      </w:divBdr>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07451327">
      <w:bodyDiv w:val="1"/>
      <w:marLeft w:val="0"/>
      <w:marRight w:val="0"/>
      <w:marTop w:val="0"/>
      <w:marBottom w:val="0"/>
      <w:divBdr>
        <w:top w:val="none" w:sz="0" w:space="0" w:color="auto"/>
        <w:left w:val="none" w:sz="0" w:space="0" w:color="auto"/>
        <w:bottom w:val="none" w:sz="0" w:space="0" w:color="auto"/>
        <w:right w:val="none" w:sz="0" w:space="0" w:color="auto"/>
      </w:divBdr>
    </w:div>
    <w:div w:id="1919515875">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sz="1000"/>
              <a:t>CRC overhead with number of CBs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1364557452296485"/>
          <c:y val="0.12180620823960585"/>
          <c:w val="0.79928556293744546"/>
          <c:h val="0.65992969118424627"/>
        </c:manualLayout>
      </c:layout>
      <c:lineChart>
        <c:grouping val="standard"/>
        <c:varyColors val="0"/>
        <c:ser>
          <c:idx val="0"/>
          <c:order val="0"/>
          <c:tx>
            <c:v>CBG-4 CRC + TB CRC</c:v>
          </c:tx>
          <c:spPr>
            <a:ln w="28575" cap="rnd">
              <a:solidFill>
                <a:schemeClr val="accent1"/>
              </a:solidFill>
              <a:round/>
            </a:ln>
            <a:effectLst/>
          </c:spPr>
          <c:marker>
            <c:symbol val="none"/>
          </c:marker>
          <c:cat>
            <c:numRef>
              <c:f>Sheet1!$K$4:$K$22</c:f>
              <c:numCache>
                <c:formatCode>General</c:formatCode>
                <c:ptCount val="19"/>
                <c:pt idx="0">
                  <c:v>11</c:v>
                </c:pt>
                <c:pt idx="1">
                  <c:v>17</c:v>
                </c:pt>
                <c:pt idx="2">
                  <c:v>22</c:v>
                </c:pt>
                <c:pt idx="3">
                  <c:v>27</c:v>
                </c:pt>
                <c:pt idx="4">
                  <c:v>33</c:v>
                </c:pt>
                <c:pt idx="5">
                  <c:v>38</c:v>
                </c:pt>
                <c:pt idx="6">
                  <c:v>43</c:v>
                </c:pt>
                <c:pt idx="7">
                  <c:v>49</c:v>
                </c:pt>
                <c:pt idx="8">
                  <c:v>54</c:v>
                </c:pt>
                <c:pt idx="9">
                  <c:v>60</c:v>
                </c:pt>
                <c:pt idx="10">
                  <c:v>65</c:v>
                </c:pt>
                <c:pt idx="11">
                  <c:v>70</c:v>
                </c:pt>
                <c:pt idx="12">
                  <c:v>76</c:v>
                </c:pt>
                <c:pt idx="13">
                  <c:v>81</c:v>
                </c:pt>
                <c:pt idx="14">
                  <c:v>86</c:v>
                </c:pt>
                <c:pt idx="15">
                  <c:v>92</c:v>
                </c:pt>
                <c:pt idx="16">
                  <c:v>97</c:v>
                </c:pt>
                <c:pt idx="17">
                  <c:v>102</c:v>
                </c:pt>
                <c:pt idx="18">
                  <c:v>108</c:v>
                </c:pt>
              </c:numCache>
            </c:numRef>
          </c:cat>
          <c:val>
            <c:numRef>
              <c:f>Sheet1!$P$4:$P$22</c:f>
              <c:numCache>
                <c:formatCode>General</c:formatCode>
                <c:ptCount val="19"/>
                <c:pt idx="0">
                  <c:v>72</c:v>
                </c:pt>
                <c:pt idx="1">
                  <c:v>104</c:v>
                </c:pt>
                <c:pt idx="2">
                  <c:v>120</c:v>
                </c:pt>
                <c:pt idx="3">
                  <c:v>136</c:v>
                </c:pt>
                <c:pt idx="4">
                  <c:v>168</c:v>
                </c:pt>
                <c:pt idx="5">
                  <c:v>184</c:v>
                </c:pt>
                <c:pt idx="6">
                  <c:v>200</c:v>
                </c:pt>
                <c:pt idx="7">
                  <c:v>232</c:v>
                </c:pt>
                <c:pt idx="8">
                  <c:v>248</c:v>
                </c:pt>
                <c:pt idx="9">
                  <c:v>264</c:v>
                </c:pt>
                <c:pt idx="10">
                  <c:v>296</c:v>
                </c:pt>
                <c:pt idx="11">
                  <c:v>312</c:v>
                </c:pt>
                <c:pt idx="12">
                  <c:v>328</c:v>
                </c:pt>
                <c:pt idx="13">
                  <c:v>360</c:v>
                </c:pt>
                <c:pt idx="14">
                  <c:v>376</c:v>
                </c:pt>
                <c:pt idx="15">
                  <c:v>392</c:v>
                </c:pt>
                <c:pt idx="16">
                  <c:v>424</c:v>
                </c:pt>
                <c:pt idx="17">
                  <c:v>440</c:v>
                </c:pt>
                <c:pt idx="18">
                  <c:v>456</c:v>
                </c:pt>
              </c:numCache>
            </c:numRef>
          </c:val>
          <c:smooth val="0"/>
          <c:extLst>
            <c:ext xmlns:c16="http://schemas.microsoft.com/office/drawing/2014/chart" uri="{C3380CC4-5D6E-409C-BE32-E72D297353CC}">
              <c16:uniqueId val="{00000000-100D-498D-A906-6717176C2521}"/>
            </c:ext>
          </c:extLst>
        </c:ser>
        <c:ser>
          <c:idx val="1"/>
          <c:order val="1"/>
          <c:tx>
            <c:strRef>
              <c:f>Sheet1!$Q$3</c:f>
              <c:strCache>
                <c:ptCount val="1"/>
                <c:pt idx="0">
                  <c:v>CBG-8 CRC + TB CRC</c:v>
                </c:pt>
              </c:strCache>
            </c:strRef>
          </c:tx>
          <c:spPr>
            <a:ln w="28575" cap="rnd">
              <a:solidFill>
                <a:schemeClr val="accent2"/>
              </a:solidFill>
              <a:round/>
            </a:ln>
            <a:effectLst/>
          </c:spPr>
          <c:marker>
            <c:symbol val="none"/>
          </c:marker>
          <c:cat>
            <c:numRef>
              <c:f>Sheet1!$K$4:$K$22</c:f>
              <c:numCache>
                <c:formatCode>General</c:formatCode>
                <c:ptCount val="19"/>
                <c:pt idx="0">
                  <c:v>11</c:v>
                </c:pt>
                <c:pt idx="1">
                  <c:v>17</c:v>
                </c:pt>
                <c:pt idx="2">
                  <c:v>22</c:v>
                </c:pt>
                <c:pt idx="3">
                  <c:v>27</c:v>
                </c:pt>
                <c:pt idx="4">
                  <c:v>33</c:v>
                </c:pt>
                <c:pt idx="5">
                  <c:v>38</c:v>
                </c:pt>
                <c:pt idx="6">
                  <c:v>43</c:v>
                </c:pt>
                <c:pt idx="7">
                  <c:v>49</c:v>
                </c:pt>
                <c:pt idx="8">
                  <c:v>54</c:v>
                </c:pt>
                <c:pt idx="9">
                  <c:v>60</c:v>
                </c:pt>
                <c:pt idx="10">
                  <c:v>65</c:v>
                </c:pt>
                <c:pt idx="11">
                  <c:v>70</c:v>
                </c:pt>
                <c:pt idx="12">
                  <c:v>76</c:v>
                </c:pt>
                <c:pt idx="13">
                  <c:v>81</c:v>
                </c:pt>
                <c:pt idx="14">
                  <c:v>86</c:v>
                </c:pt>
                <c:pt idx="15">
                  <c:v>92</c:v>
                </c:pt>
                <c:pt idx="16">
                  <c:v>97</c:v>
                </c:pt>
                <c:pt idx="17">
                  <c:v>102</c:v>
                </c:pt>
                <c:pt idx="18">
                  <c:v>108</c:v>
                </c:pt>
              </c:numCache>
            </c:numRef>
          </c:cat>
          <c:val>
            <c:numRef>
              <c:f>Sheet1!$Q$4:$Q$22</c:f>
              <c:numCache>
                <c:formatCode>General</c:formatCode>
                <c:ptCount val="19"/>
                <c:pt idx="0">
                  <c:v>56</c:v>
                </c:pt>
                <c:pt idx="1">
                  <c:v>72</c:v>
                </c:pt>
                <c:pt idx="2">
                  <c:v>72</c:v>
                </c:pt>
                <c:pt idx="3">
                  <c:v>88</c:v>
                </c:pt>
                <c:pt idx="4">
                  <c:v>104</c:v>
                </c:pt>
                <c:pt idx="5">
                  <c:v>104</c:v>
                </c:pt>
                <c:pt idx="6">
                  <c:v>120</c:v>
                </c:pt>
                <c:pt idx="7">
                  <c:v>136</c:v>
                </c:pt>
                <c:pt idx="8">
                  <c:v>136</c:v>
                </c:pt>
                <c:pt idx="9">
                  <c:v>152</c:v>
                </c:pt>
                <c:pt idx="10">
                  <c:v>168</c:v>
                </c:pt>
                <c:pt idx="11">
                  <c:v>168</c:v>
                </c:pt>
                <c:pt idx="12">
                  <c:v>184</c:v>
                </c:pt>
                <c:pt idx="13">
                  <c:v>200</c:v>
                </c:pt>
                <c:pt idx="14">
                  <c:v>200</c:v>
                </c:pt>
                <c:pt idx="15">
                  <c:v>216</c:v>
                </c:pt>
                <c:pt idx="16">
                  <c:v>232</c:v>
                </c:pt>
                <c:pt idx="17">
                  <c:v>232</c:v>
                </c:pt>
                <c:pt idx="18">
                  <c:v>248</c:v>
                </c:pt>
              </c:numCache>
            </c:numRef>
          </c:val>
          <c:smooth val="0"/>
          <c:extLst>
            <c:ext xmlns:c16="http://schemas.microsoft.com/office/drawing/2014/chart" uri="{C3380CC4-5D6E-409C-BE32-E72D297353CC}">
              <c16:uniqueId val="{00000001-100D-498D-A906-6717176C2521}"/>
            </c:ext>
          </c:extLst>
        </c:ser>
        <c:ser>
          <c:idx val="2"/>
          <c:order val="2"/>
          <c:tx>
            <c:v>CB CRC + TB CRC</c:v>
          </c:tx>
          <c:spPr>
            <a:ln w="28575" cap="rnd">
              <a:solidFill>
                <a:schemeClr val="accent3"/>
              </a:solidFill>
              <a:round/>
            </a:ln>
            <a:effectLst/>
          </c:spPr>
          <c:marker>
            <c:symbol val="none"/>
          </c:marker>
          <c:cat>
            <c:numRef>
              <c:f>Sheet1!$K$4:$K$22</c:f>
              <c:numCache>
                <c:formatCode>General</c:formatCode>
                <c:ptCount val="19"/>
                <c:pt idx="0">
                  <c:v>11</c:v>
                </c:pt>
                <c:pt idx="1">
                  <c:v>17</c:v>
                </c:pt>
                <c:pt idx="2">
                  <c:v>22</c:v>
                </c:pt>
                <c:pt idx="3">
                  <c:v>27</c:v>
                </c:pt>
                <c:pt idx="4">
                  <c:v>33</c:v>
                </c:pt>
                <c:pt idx="5">
                  <c:v>38</c:v>
                </c:pt>
                <c:pt idx="6">
                  <c:v>43</c:v>
                </c:pt>
                <c:pt idx="7">
                  <c:v>49</c:v>
                </c:pt>
                <c:pt idx="8">
                  <c:v>54</c:v>
                </c:pt>
                <c:pt idx="9">
                  <c:v>60</c:v>
                </c:pt>
                <c:pt idx="10">
                  <c:v>65</c:v>
                </c:pt>
                <c:pt idx="11">
                  <c:v>70</c:v>
                </c:pt>
                <c:pt idx="12">
                  <c:v>76</c:v>
                </c:pt>
                <c:pt idx="13">
                  <c:v>81</c:v>
                </c:pt>
                <c:pt idx="14">
                  <c:v>86</c:v>
                </c:pt>
                <c:pt idx="15">
                  <c:v>92</c:v>
                </c:pt>
                <c:pt idx="16">
                  <c:v>97</c:v>
                </c:pt>
                <c:pt idx="17">
                  <c:v>102</c:v>
                </c:pt>
                <c:pt idx="18">
                  <c:v>108</c:v>
                </c:pt>
              </c:numCache>
            </c:numRef>
          </c:cat>
          <c:val>
            <c:numRef>
              <c:f>Sheet1!$F$4:$F$22</c:f>
              <c:numCache>
                <c:formatCode>General</c:formatCode>
                <c:ptCount val="19"/>
                <c:pt idx="0">
                  <c:v>200</c:v>
                </c:pt>
                <c:pt idx="1">
                  <c:v>296</c:v>
                </c:pt>
                <c:pt idx="2">
                  <c:v>376</c:v>
                </c:pt>
                <c:pt idx="3">
                  <c:v>456</c:v>
                </c:pt>
                <c:pt idx="4">
                  <c:v>552</c:v>
                </c:pt>
                <c:pt idx="5">
                  <c:v>632</c:v>
                </c:pt>
                <c:pt idx="6">
                  <c:v>712</c:v>
                </c:pt>
                <c:pt idx="7">
                  <c:v>808</c:v>
                </c:pt>
                <c:pt idx="8">
                  <c:v>888</c:v>
                </c:pt>
                <c:pt idx="9">
                  <c:v>984</c:v>
                </c:pt>
                <c:pt idx="10">
                  <c:v>1064</c:v>
                </c:pt>
                <c:pt idx="11">
                  <c:v>1144</c:v>
                </c:pt>
                <c:pt idx="12">
                  <c:v>1240</c:v>
                </c:pt>
                <c:pt idx="13">
                  <c:v>1320</c:v>
                </c:pt>
                <c:pt idx="14">
                  <c:v>1400</c:v>
                </c:pt>
                <c:pt idx="15">
                  <c:v>1496</c:v>
                </c:pt>
                <c:pt idx="16">
                  <c:v>1576</c:v>
                </c:pt>
                <c:pt idx="17">
                  <c:v>1656</c:v>
                </c:pt>
                <c:pt idx="18">
                  <c:v>1752</c:v>
                </c:pt>
              </c:numCache>
            </c:numRef>
          </c:val>
          <c:smooth val="0"/>
          <c:extLst>
            <c:ext xmlns:c16="http://schemas.microsoft.com/office/drawing/2014/chart" uri="{C3380CC4-5D6E-409C-BE32-E72D297353CC}">
              <c16:uniqueId val="{00000002-100D-498D-A906-6717176C2521}"/>
            </c:ext>
          </c:extLst>
        </c:ser>
        <c:dLbls>
          <c:showLegendKey val="0"/>
          <c:showVal val="0"/>
          <c:showCatName val="0"/>
          <c:showSerName val="0"/>
          <c:showPercent val="0"/>
          <c:showBubbleSize val="0"/>
        </c:dLbls>
        <c:smooth val="0"/>
        <c:axId val="484227320"/>
        <c:axId val="484230272"/>
      </c:lineChart>
      <c:catAx>
        <c:axId val="4842273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 CBs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4230272"/>
        <c:crosses val="autoZero"/>
        <c:auto val="1"/>
        <c:lblAlgn val="ctr"/>
        <c:lblOffset val="100"/>
        <c:noMultiLvlLbl val="0"/>
      </c:catAx>
      <c:valAx>
        <c:axId val="484230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CRC overhead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4227320"/>
        <c:crosses val="autoZero"/>
        <c:crossBetween val="between"/>
      </c:valAx>
      <c:spPr>
        <a:noFill/>
        <a:ln>
          <a:noFill/>
        </a:ln>
        <a:effectLst/>
      </c:spPr>
    </c:plotArea>
    <c:legend>
      <c:legendPos val="r"/>
      <c:layout>
        <c:manualLayout>
          <c:xMode val="edge"/>
          <c:yMode val="edge"/>
          <c:x val="0.58620287210192479"/>
          <c:y val="0.3905735694109016"/>
          <c:w val="0.36565467879231833"/>
          <c:h val="0.2160083893072493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4BC70408-CC41-4636-84D4-727A6540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7521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2017-02-06T10:09:00Z</dcterms:created>
  <dcterms:modified xsi:type="dcterms:W3CDTF">2017-02-06T18:37:00Z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